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3F" w:rsidRDefault="00B504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>
        <w:rPr>
          <w:noProof/>
          <w:lang w:eastAsia="de-DE"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8660130</wp:posOffset>
            </wp:positionH>
            <wp:positionV relativeFrom="paragraph">
              <wp:posOffset>-179705</wp:posOffset>
            </wp:positionV>
            <wp:extent cx="1094105" cy="497205"/>
            <wp:effectExtent l="0" t="0" r="0" b="0"/>
            <wp:wrapNone/>
            <wp:docPr id="1" name="Grafik 1" descr="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NA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sz w:val="28"/>
          <w:szCs w:val="28"/>
          <w:lang w:eastAsia="de-DE"/>
        </w:rPr>
        <w:t>Resistenztestung und Antibiotika-Dosierung</w:t>
      </w:r>
    </w:p>
    <w:p w:rsidR="00DE4A3F" w:rsidRDefault="00DE4A3F">
      <w:pPr>
        <w:spacing w:after="120" w:line="288" w:lineRule="auto"/>
        <w:jc w:val="both"/>
        <w:rPr>
          <w:sz w:val="12"/>
        </w:rPr>
      </w:pPr>
    </w:p>
    <w:p w:rsidR="00DE4A3F" w:rsidRPr="00464026" w:rsidRDefault="00B5048B">
      <w:pPr>
        <w:spacing w:after="0" w:line="288" w:lineRule="auto"/>
        <w:ind w:right="480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18"/>
          <w:szCs w:val="18"/>
          <w:lang w:eastAsia="de-DE"/>
        </w:rPr>
        <w:t xml:space="preserve">Die Resistenztestung wird entsprechend den Empfehlungen des EUCAST (European Committee on Antimicrobial Susceptibility Testing) durchgeführt. Die EUCAST-Grenzwerte basieren auf den unten aufgeführten </w:t>
      </w:r>
      <w:r>
        <w:rPr>
          <w:rFonts w:ascii="Arial" w:eastAsia="Times New Roman" w:hAnsi="Arial" w:cs="Arial"/>
          <w:sz w:val="18"/>
          <w:szCs w:val="18"/>
          <w:lang w:eastAsia="de-DE"/>
        </w:rPr>
        <w:t>Dosierungen (</w:t>
      </w:r>
      <w:r>
        <w:rPr>
          <w:rFonts w:ascii="Arial" w:eastAsia="Times New Roman" w:hAnsi="Arial" w:cs="Arial"/>
          <w:b/>
          <w:sz w:val="18"/>
          <w:szCs w:val="18"/>
          <w:lang w:eastAsia="de-DE"/>
        </w:rPr>
        <w:t xml:space="preserve">für Erwachsene </w:t>
      </w:r>
      <w:r>
        <w:rPr>
          <w:rFonts w:ascii="Arial" w:eastAsia="Times New Roman" w:hAnsi="Arial" w:cs="Arial"/>
          <w:b/>
          <w:sz w:val="18"/>
          <w:szCs w:val="18"/>
          <w:u w:val="single"/>
          <w:lang w:eastAsia="de-DE"/>
        </w:rPr>
        <w:t>ohne</w:t>
      </w:r>
      <w:r>
        <w:rPr>
          <w:rFonts w:ascii="Arial" w:eastAsia="Times New Roman" w:hAnsi="Arial" w:cs="Arial"/>
          <w:b/>
          <w:sz w:val="18"/>
          <w:szCs w:val="18"/>
          <w:lang w:eastAsia="de-DE"/>
        </w:rPr>
        <w:t xml:space="preserve"> Therapie-modifizierende Faktoren, z.B. Einschränkung der Nierenfunktion</w:t>
      </w:r>
      <w:r>
        <w:rPr>
          <w:rFonts w:ascii="Arial" w:eastAsia="Times New Roman" w:hAnsi="Arial" w:cs="Arial"/>
          <w:sz w:val="18"/>
          <w:szCs w:val="18"/>
          <w:lang w:eastAsia="de-DE"/>
        </w:rPr>
        <w:t xml:space="preserve">). Es wird zwischen einer Standarddosierung und einer hohen Dosierung unterschieden. Die hohe Dosis ist bei bestimmten Indikationen oder bei bestimmten </w:t>
      </w:r>
      <w:r>
        <w:rPr>
          <w:rFonts w:ascii="Arial" w:eastAsia="Times New Roman" w:hAnsi="Arial" w:cs="Arial"/>
          <w:sz w:val="18"/>
          <w:szCs w:val="18"/>
          <w:lang w:eastAsia="de-DE"/>
        </w:rPr>
        <w:t xml:space="preserve">Erregern indiziert und soll bei Antibiotika eingesetzt werden, die als „I“ (sensibel bei erhöhter Exposition) auf dem Antibiogramm berichtet worden sind, sofern nicht eine Anreicherung des Antibiotikums am Infektionsort </w:t>
      </w:r>
      <w:r w:rsidRPr="00464026">
        <w:rPr>
          <w:rFonts w:ascii="Arial" w:eastAsia="Times New Roman" w:hAnsi="Arial" w:cs="Arial"/>
          <w:sz w:val="18"/>
          <w:szCs w:val="18"/>
          <w:lang w:eastAsia="de-DE"/>
        </w:rPr>
        <w:t xml:space="preserve">erfolgt </w:t>
      </w:r>
      <w:r w:rsidRPr="00464026">
        <w:rPr>
          <w:rFonts w:ascii="Arial" w:eastAsia="Times New Roman" w:hAnsi="Arial" w:cs="Arial"/>
          <w:sz w:val="18"/>
          <w:szCs w:val="18"/>
          <w:lang w:eastAsia="de-DE"/>
        </w:rPr>
        <w:t>(z.B. werden β-Laktam-Antibi</w:t>
      </w:r>
      <w:r w:rsidRPr="00464026">
        <w:rPr>
          <w:rFonts w:ascii="Arial" w:eastAsia="Times New Roman" w:hAnsi="Arial" w:cs="Arial"/>
          <w:sz w:val="18"/>
          <w:szCs w:val="18"/>
          <w:lang w:eastAsia="de-DE"/>
        </w:rPr>
        <w:t>otika oder Ciprofloxacin im Urin i.d.R. angereichert).</w:t>
      </w:r>
      <w:r w:rsidRPr="00464026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</w:p>
    <w:p w:rsidR="00DE4A3F" w:rsidRPr="00464026" w:rsidRDefault="00B5048B">
      <w:pPr>
        <w:spacing w:after="0" w:line="288" w:lineRule="auto"/>
        <w:ind w:right="480"/>
        <w:jc w:val="both"/>
      </w:pPr>
      <w:r w:rsidRPr="00464026">
        <w:rPr>
          <w:rFonts w:ascii="Arial" w:eastAsia="Times New Roman" w:hAnsi="Arial" w:cs="Arial"/>
          <w:b/>
          <w:sz w:val="18"/>
          <w:szCs w:val="18"/>
          <w:lang w:eastAsia="de-DE"/>
        </w:rPr>
        <w:t xml:space="preserve">Sollte eine zu niedrige Dosierung verwendet werden, kann auch bei einem empfindlichen Erreger NICHT von einer Wirksamkeit ausgegangen werden! </w:t>
      </w:r>
      <w:r w:rsidRPr="0046402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Die Dosierung bei der Therapie von Infektionen richtet sic</w:t>
      </w:r>
      <w:r w:rsidRPr="0046402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h nach einer Vielzahl von Patientenfaktoren und z.T. den Infektionserregern. Die unten aufgeführten Dosierungen sind </w:t>
      </w:r>
      <w:r w:rsidRPr="00464026">
        <w:rPr>
          <w:rFonts w:ascii="Arial" w:eastAsia="Times New Roman" w:hAnsi="Arial" w:cs="Arial"/>
          <w:color w:val="000000"/>
          <w:sz w:val="18"/>
          <w:szCs w:val="18"/>
          <w:u w:val="single"/>
          <w:lang w:eastAsia="de-DE"/>
        </w:rPr>
        <w:t>nicht als erschöpfender Leitfaden</w:t>
      </w:r>
      <w:r w:rsidRPr="0046402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zur Dosierung im klinischen Alltag zu verstehen, da Dosierungen nach Indikation erheblich variieren. Dies</w:t>
      </w:r>
      <w:r w:rsidRPr="0046402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e Tabelle ersetzt nicht die Fachinformation, Leitlinien oder spezifische nationale oder regionale Dosierungsempfehlungen! Die richtige Dosierung ist vom Anwender in jedem Einzelfall zu überprüfen! Im Zweifelsfall sollte Rücksprache mit einem mikrobiologisc</w:t>
      </w:r>
      <w:r w:rsidRPr="0046402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h-infektiologisch geschulten Kollegen erfolgen.</w:t>
      </w:r>
    </w:p>
    <w:p w:rsidR="00DE4A3F" w:rsidRPr="00B5048B" w:rsidRDefault="00B5048B">
      <w:pPr>
        <w:spacing w:after="120" w:line="288" w:lineRule="auto"/>
        <w:ind w:right="480"/>
        <w:jc w:val="right"/>
        <w:rPr>
          <w:rFonts w:ascii="Arial" w:hAnsi="Arial" w:cs="Arial"/>
          <w:sz w:val="18"/>
        </w:rPr>
      </w:pPr>
      <w:bookmarkStart w:id="0" w:name="_GoBack"/>
      <w:bookmarkEnd w:id="0"/>
      <w:r w:rsidRPr="00B5048B">
        <w:rPr>
          <w:rFonts w:ascii="Arial" w:hAnsi="Arial" w:cs="Arial"/>
          <w:sz w:val="18"/>
        </w:rPr>
        <w:t>Stand 30.01.2023</w:t>
      </w:r>
    </w:p>
    <w:tbl>
      <w:tblPr>
        <w:tblpPr w:leftFromText="141" w:rightFromText="141" w:vertAnchor="text" w:tblpY="1"/>
        <w:tblW w:w="149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8"/>
        <w:gridCol w:w="2127"/>
        <w:gridCol w:w="1987"/>
        <w:gridCol w:w="2185"/>
        <w:gridCol w:w="6642"/>
      </w:tblGrid>
      <w:tr w:rsidR="00DE4A3F">
        <w:trPr>
          <w:trHeight w:val="30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rPr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Penicilline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Standarddosierung*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Hohe Dosierung*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Unkomplizierte HWI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vertAlign w:val="superscript"/>
                <w:lang w:eastAsia="de-DE"/>
              </w:rPr>
              <w:t>§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rPr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Bemerkungen</w:t>
            </w:r>
          </w:p>
        </w:tc>
      </w:tr>
      <w:tr w:rsidR="00DE4A3F">
        <w:trPr>
          <w:trHeight w:val="30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9">
              <w:r w:rsidRPr="00464026">
                <w:rPr>
                  <w:rFonts w:ascii="Arial" w:hAnsi="Arial" w:cs="Arial"/>
                  <w:b/>
                  <w:sz w:val="16"/>
                  <w:szCs w:val="16"/>
                </w:rPr>
                <w:t xml:space="preserve">Benzylpenicillin </w:t>
              </w:r>
              <w:r w:rsidR="00464026" w:rsidRPr="00464026">
                <w:rPr>
                  <w:rFonts w:ascii="Arial" w:hAnsi="Arial" w:cs="Arial"/>
                  <w:b/>
                  <w:sz w:val="16"/>
                  <w:szCs w:val="16"/>
                </w:rPr>
                <w:br/>
              </w:r>
              <w:r w:rsidRPr="00464026">
                <w:rPr>
                  <w:rFonts w:ascii="Arial" w:hAnsi="Arial" w:cs="Arial"/>
                  <w:b/>
                  <w:sz w:val="16"/>
                  <w:szCs w:val="16"/>
                </w:rPr>
                <w:t>(Penicillin G)</w:t>
              </w:r>
            </w:hyperlink>
            <w:r w:rsidRPr="0046402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464026">
              <w:rPr>
                <w:rFonts w:ascii="Cambria Math" w:hAnsi="Cambria Math" w:cs="Cambria Math"/>
                <w:b/>
                <w:color w:val="FF0000"/>
                <w:sz w:val="16"/>
                <w:szCs w:val="16"/>
              </w:rPr>
              <w:t>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 x 0,6 g i.v.</w:t>
            </w:r>
          </w:p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entsprechend </w:t>
            </w:r>
          </w:p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b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4 x 1 MU (bzw. Mio. Internationale Einheiten [IE]) 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i.v.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4–6 x 1,2 g i.v.</w:t>
            </w:r>
          </w:p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entsprechend </w:t>
            </w:r>
          </w:p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color w:val="FF0000"/>
                <w:highlight w:val="gree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4-6 x 2 MU (bzw. Mio. Internationale Einheiten [IE]) i.v.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lang w:eastAsia="de-DE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6"/>
                <w:lang w:eastAsia="de-DE"/>
              </w:rPr>
              <w:t>Streptococcus pneumoniae</w:t>
            </w:r>
            <w:r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>:</w:t>
            </w:r>
          </w:p>
          <w:p w:rsidR="00DE4A3F" w:rsidRDefault="00B5048B">
            <w:pPr>
              <w:widowControl w:val="0"/>
              <w:spacing w:before="40" w:after="0" w:line="240" w:lineRule="auto"/>
              <w:ind w:left="213"/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lang w:eastAsia="de-DE"/>
              </w:rPr>
              <w:t xml:space="preserve">Pneumonie: </w:t>
            </w:r>
            <w:r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>sensibel abhängig von minimaler Hemmkonzentration</w:t>
            </w:r>
          </w:p>
          <w:p w:rsidR="00DE4A3F" w:rsidRDefault="00B5048B">
            <w:pPr>
              <w:widowControl w:val="0"/>
              <w:spacing w:before="40" w:after="0" w:line="240" w:lineRule="auto"/>
              <w:ind w:left="354"/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>≤ 0,5 mg/l sensibel bei 4 x 1,2 g (2 MU)</w:t>
            </w:r>
          </w:p>
          <w:p w:rsidR="00DE4A3F" w:rsidRDefault="00B5048B">
            <w:pPr>
              <w:widowControl w:val="0"/>
              <w:spacing w:before="40" w:after="0" w:line="240" w:lineRule="auto"/>
              <w:ind w:left="354"/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 xml:space="preserve">≤ 1 mg/l sensibel bei 4 x 2,4 g </w:t>
            </w:r>
            <w:r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>(4 MU) oder 6 x 1,2 g (2 MU)</w:t>
            </w:r>
          </w:p>
          <w:p w:rsidR="00DE4A3F" w:rsidRDefault="00B5048B">
            <w:pPr>
              <w:widowControl w:val="0"/>
              <w:spacing w:before="40" w:after="0" w:line="240" w:lineRule="auto"/>
              <w:ind w:left="354"/>
            </w:pPr>
            <w:r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>≤ 2 mg/l sensibel bei 6 x 2,4 g (4 MU)</w:t>
            </w:r>
          </w:p>
          <w:p w:rsidR="00DE4A3F" w:rsidRDefault="00B5048B">
            <w:pPr>
              <w:widowControl w:val="0"/>
              <w:spacing w:before="40" w:after="0" w:line="240" w:lineRule="auto"/>
              <w:ind w:left="213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lang w:eastAsia="de-DE"/>
              </w:rPr>
              <w:t>Meningitis</w:t>
            </w:r>
            <w:r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>: bei MHK ≤ 0,06 mg/l sensibel bei 6 x 2,4 g (4 MU)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</w:p>
          <w:p w:rsidR="00DE4A3F" w:rsidRDefault="00DE4A3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eastAsia="de-DE"/>
              </w:rPr>
            </w:pPr>
          </w:p>
          <w:p w:rsidR="00DE4A3F" w:rsidRDefault="00B5048B">
            <w:pPr>
              <w:widowControl w:val="0"/>
              <w:spacing w:before="40"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Höchstdosis 36 g (60 MU) in 4-6 Einzeldosen i.v.</w:t>
            </w:r>
          </w:p>
        </w:tc>
      </w:tr>
      <w:tr w:rsidR="00DE4A3F">
        <w:trPr>
          <w:trHeight w:val="30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640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 xml:space="preserve">Ampicillin </w:t>
            </w:r>
            <w:r w:rsidRPr="00464026">
              <w:rPr>
                <w:rFonts w:ascii="Cambria Math" w:hAnsi="Cambria Math" w:cs="Cambria Math"/>
                <w:b/>
                <w:color w:val="FF0000"/>
                <w:sz w:val="16"/>
                <w:szCs w:val="16"/>
              </w:rPr>
              <w:t>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b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 x 2 g i.v.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 x 2 g i.v.</w:t>
            </w:r>
          </w:p>
          <w:p w:rsidR="00DE4A3F" w:rsidRDefault="00DE4A3F">
            <w:pPr>
              <w:widowControl w:val="0"/>
              <w:spacing w:before="40" w:after="0" w:line="240" w:lineRule="auto"/>
              <w:jc w:val="center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Bei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Meningitis:</w:t>
            </w:r>
            <w:r>
              <w:rPr>
                <w:rFonts w:ascii="Arial" w:hAnsi="Arial" w:cs="Arial"/>
                <w:sz w:val="16"/>
                <w:szCs w:val="16"/>
              </w:rPr>
              <w:t xml:space="preserve"> 6 x 2g i.v.</w:t>
            </w:r>
          </w:p>
          <w:p w:rsidR="00DE4A3F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Höchstdosis 15 g i.v. und mehr</w:t>
            </w:r>
          </w:p>
        </w:tc>
      </w:tr>
      <w:tr w:rsidR="00DE4A3F">
        <w:trPr>
          <w:trHeight w:val="30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640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 xml:space="preserve">Ampicillin-Sulbactam </w:t>
            </w:r>
            <w:r w:rsidRPr="00464026">
              <w:rPr>
                <w:rFonts w:ascii="Cambria Math" w:hAnsi="Cambria Math" w:cs="Cambria Math"/>
                <w:b/>
                <w:color w:val="FF0000"/>
                <w:sz w:val="16"/>
                <w:szCs w:val="16"/>
              </w:rPr>
              <w:t>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b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  <w:t xml:space="preserve">3 x 3 g i.v.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  <w:br/>
              <w:t xml:space="preserve">(2 g Ampicillin + 1 g Sulbactam)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  <w:t>4 x 3 g i.v.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  <w:br/>
              <w:t xml:space="preserve">(2 g Ampicillin + 1 g Sulbactam)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Bei oraler Verabreichung von Ampicillin-Sulbactam (Sultamicillin) kann wegen der vergleichsweise geringen</w:t>
            </w:r>
            <w:r>
              <w:rPr>
                <w:rFonts w:ascii="Arial" w:hAnsi="Arial" w:cs="Arial"/>
                <w:sz w:val="16"/>
              </w:rPr>
              <w:t xml:space="preserve"> Ampicillin-Menge kein nach parenteraler Gabe von Ampicillin-Sulbactam vergleichbarer Wirkspiegel erreicht werden. Es sollten daher bevorzugt andere Präparate eingesetzt werden (z.B. Amoxicillin-Clavulansäure). Eine Ausnahme stellt die unkomplizierte Harnw</w:t>
            </w:r>
            <w:r>
              <w:rPr>
                <w:rFonts w:ascii="Arial" w:hAnsi="Arial" w:cs="Arial"/>
                <w:sz w:val="16"/>
              </w:rPr>
              <w:t>egsinfektion dar (empfohlene Dosierung: 2 x 0.75g Sultamicillin)</w:t>
            </w:r>
          </w:p>
        </w:tc>
      </w:tr>
      <w:tr w:rsidR="00DE4A3F">
        <w:trPr>
          <w:trHeight w:val="30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10">
              <w:r w:rsidRPr="00464026">
                <w:rPr>
                  <w:rFonts w:ascii="Arial" w:hAnsi="Arial" w:cs="Arial"/>
                  <w:b/>
                  <w:sz w:val="16"/>
                  <w:szCs w:val="16"/>
                </w:rPr>
                <w:t>Amoxicillin</w:t>
              </w:r>
            </w:hyperlink>
            <w:r w:rsidRPr="00464026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de-DE"/>
              </w:rPr>
              <w:t xml:space="preserve"> i.v. </w:t>
            </w:r>
            <w:r w:rsidRPr="00464026">
              <w:rPr>
                <w:rFonts w:ascii="Cambria Math" w:hAnsi="Cambria Math" w:cs="Cambria Math"/>
                <w:b/>
                <w:color w:val="FF0000"/>
                <w:sz w:val="16"/>
                <w:szCs w:val="16"/>
              </w:rPr>
              <w:t>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b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3-4 x 1 g i.v.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 x 2 g i.v.</w:t>
            </w:r>
          </w:p>
          <w:p w:rsidR="00DE4A3F" w:rsidRDefault="00DE4A3F">
            <w:pPr>
              <w:widowControl w:val="0"/>
              <w:spacing w:before="40" w:after="0" w:line="240" w:lineRule="auto"/>
              <w:jc w:val="center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Bei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Meningitis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: 6 x 2 g 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>Bei Therapie von Infektionen mit Enterobakterien empfiehlt sich eine höhere Dosierung (mindestens 4 g/Tag i.v.)</w:t>
            </w:r>
          </w:p>
        </w:tc>
      </w:tr>
      <w:tr w:rsidR="00DE4A3F">
        <w:trPr>
          <w:trHeight w:val="30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11">
              <w:r w:rsidRPr="00464026">
                <w:rPr>
                  <w:rFonts w:ascii="Arial" w:hAnsi="Arial" w:cs="Arial"/>
                  <w:b/>
                  <w:sz w:val="16"/>
                  <w:szCs w:val="16"/>
                </w:rPr>
                <w:t>Amoxicillin</w:t>
              </w:r>
            </w:hyperlink>
            <w:r w:rsidRPr="00464026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de-DE"/>
              </w:rPr>
              <w:t xml:space="preserve"> p.o.</w:t>
            </w:r>
            <w:r w:rsidRPr="0046402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464026">
              <w:rPr>
                <w:rFonts w:ascii="Cambria Math" w:hAnsi="Cambria Math" w:cs="Cambria Math"/>
                <w:b/>
                <w:color w:val="FF0000"/>
                <w:sz w:val="16"/>
                <w:szCs w:val="16"/>
              </w:rPr>
              <w:t>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b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 x 0,5 g p.o.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 x 0,75-1 g p.o.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 x 0,5 g p.o.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16"/>
                <w:highlight w:val="yellow"/>
                <w:lang w:eastAsia="de-DE"/>
              </w:rPr>
            </w:pPr>
            <w:r w:rsidRPr="00464026"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 xml:space="preserve">Die hohe Dosierung </w:t>
            </w:r>
            <w:r w:rsidRPr="00464026"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 xml:space="preserve">entspricht der maximal oral bioverfügbaren Menge. Eine Erhöhung der Einzeldosis </w:t>
            </w:r>
            <w:r w:rsidRPr="00464026"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>steigert nicht die Exposition</w:t>
            </w:r>
            <w:r w:rsidRPr="00464026"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>.</w:t>
            </w:r>
          </w:p>
        </w:tc>
      </w:tr>
      <w:tr w:rsidR="00DE4A3F">
        <w:trPr>
          <w:trHeight w:val="30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640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Amoxicillin-Clavulansäure i.v.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  <w:t>3-</w:t>
            </w:r>
            <w:r>
              <w:rPr>
                <w:rFonts w:ascii="Arial" w:eastAsia="Times New Roman" w:hAnsi="Arial" w:cs="Arial"/>
                <w:sz w:val="16"/>
                <w:szCs w:val="16"/>
                <w:highlight w:val="red"/>
                <w:lang w:val="en-US" w:eastAsia="de-DE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  <w:t xml:space="preserve"> x (1 g Amoxicillin + 0,2 g Clavulansäure) i.v.</w:t>
            </w:r>
          </w:p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beachte Kommentar!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  <w:t xml:space="preserve">3 x (2 g Amoxicillin +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  <w:br/>
              <w:t>0,2 g Clavulansäure) i.v.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red"/>
                <w:lang w:eastAsia="de-DE"/>
              </w:rPr>
              <w:t xml:space="preserve">Die Dosierung von 4 x 1,2 g ist in der EU nicht zugelassen; die maximale Dosierung von Clavulansäure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red"/>
                <w:lang w:eastAsia="de-DE"/>
              </w:rPr>
              <w:t>i.v. innerhalb von 24 h beträgt 600 mg.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Bei schweren Infektionen mit Enterobakterien kann eine Dosierung von 3 x 2,2 g (2000 mg/200 mg) eingesetzt werden. Amoxicillin kann auch höher dosiert werden; die Tagesdosis ist nicht auf 6 g beschränkt. Die Erhöhung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der Amoxicillin-Dosis darf dann nicht durch Verwendung der fixen Kombination erreicht werden.</w:t>
            </w:r>
          </w:p>
        </w:tc>
      </w:tr>
      <w:tr w:rsidR="00DE4A3F">
        <w:trPr>
          <w:trHeight w:val="30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640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Amoxicillin-Clavulansäure p.o.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  <w:t>3 x (0.5 g Amoxicillin + 0,125 g Clavulansäure) p.o.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  <w:t>3 x (0.875 g Amoxicillin + 0,125 g Clavulansäure) p.o.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  <w:t xml:space="preserve">3 x (0.5 g Amoxicillin +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  <w:br/>
              <w:t>0,125 g Clavulansäure) p.o.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Für Amoxicillin-Clavulansäure gibt es eigene Grenzwerte für systemische Infektionen und unkomplizierte Harnwegsinfektionen. Wenn Amoxicillin-Clavulansäure-Grenzwerte für unkomplizierte HWI angewendet we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rden, muss auf dem Befund vermerkt sein, dass die Empfindlichkeit ausschließlich für unkomplizierte HWI gültig ist. </w:t>
            </w:r>
          </w:p>
        </w:tc>
      </w:tr>
      <w:tr w:rsidR="00DE4A3F" w:rsidTr="00464026">
        <w:trPr>
          <w:trHeight w:val="27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E4A3F" w:rsidRPr="00464026" w:rsidRDefault="00B5048B" w:rsidP="00464026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4640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lastRenderedPageBreak/>
              <w:t>Penicilline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E4A3F" w:rsidRDefault="00B5048B" w:rsidP="00464026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Standarddosierung*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E4A3F" w:rsidRDefault="00B5048B" w:rsidP="00464026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Hohe Dosierung*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E4A3F" w:rsidRDefault="00B5048B" w:rsidP="00464026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Unkomplizierte HWI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vertAlign w:val="superscript"/>
                <w:lang w:eastAsia="de-DE"/>
              </w:rPr>
              <w:t>§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E4A3F" w:rsidRDefault="00B5048B" w:rsidP="00464026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i/>
                <w:strike/>
                <w:color w:val="000000"/>
                <w:sz w:val="16"/>
                <w:szCs w:val="16"/>
                <w:highlight w:val="yellow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Bemerkungen</w:t>
            </w:r>
          </w:p>
        </w:tc>
      </w:tr>
      <w:tr w:rsidR="00DE4A3F">
        <w:trPr>
          <w:trHeight w:val="30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40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 xml:space="preserve">Piperacillin </w:t>
            </w:r>
            <w:r w:rsidRPr="00464026">
              <w:rPr>
                <w:rFonts w:ascii="Cambria Math" w:hAnsi="Cambria Math" w:cs="Cambria Math"/>
                <w:color w:val="FF0000"/>
                <w:sz w:val="16"/>
                <w:szCs w:val="16"/>
              </w:rPr>
              <w:t>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 x 4 g i.v.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4 x 4 g i.v.über 3 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Stunden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Höhere Dosierung für schwere Infektionen; Höchstdosis 24 g i.v. in 3-4 Einzeldosen</w:t>
            </w:r>
          </w:p>
          <w:p w:rsidR="00DE4A3F" w:rsidRDefault="00DE4A3F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A3F">
        <w:trPr>
          <w:trHeight w:val="47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12">
              <w:r w:rsidRPr="00464026">
                <w:rPr>
                  <w:rFonts w:ascii="Arial" w:hAnsi="Arial" w:cs="Arial"/>
                  <w:b/>
                  <w:sz w:val="16"/>
                  <w:szCs w:val="16"/>
                </w:rPr>
                <w:t>Piperacillin-Tazobactam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3 x (4 g Piperacillin + 0,5 g Tazobactam) i.v. über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4h 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oder 4 x (4 g Piperacillin + 0,5 g Tazobactam) i.v. 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>über 30 min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4 x (4 g Piperacillin + 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>0,5 g Tazobactam) i.v. über 3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 h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uppressAutoHyphens w:val="0"/>
              <w:spacing w:after="0" w:line="240" w:lineRule="auto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x (4 g Piperacillin + 0.5 g Tazobactam) iv über 30mi</w:t>
            </w:r>
            <w:r>
              <w:rPr>
                <w:rFonts w:ascii="Arial" w:hAnsi="Arial" w:cs="Arial"/>
                <w:sz w:val="16"/>
                <w:szCs w:val="16"/>
              </w:rPr>
              <w:t>n kann bei bestimmten Infektionen eingesetzt werden, z.B. komplizierte Harnwegsinfektionen, intraabdominelle Infektionen und diabetischem Fuß, aber nicht für Isolate mit Resistenz gegenüber Cephalosporinen der 3. Generation (z.B. Cefotaxim)</w:t>
            </w:r>
          </w:p>
          <w:p w:rsidR="00DE4A3F" w:rsidRDefault="00DE4A3F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A3F">
        <w:trPr>
          <w:trHeight w:val="30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13">
              <w:r w:rsidRPr="00464026">
                <w:rPr>
                  <w:rFonts w:ascii="Arial" w:hAnsi="Arial" w:cs="Arial"/>
                  <w:b/>
                  <w:sz w:val="16"/>
                  <w:szCs w:val="16"/>
                </w:rPr>
                <w:t>Phenoxymethyl-penicillin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3-4 x 0,5-2 g p.o.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DE4A3F">
        <w:trPr>
          <w:trHeight w:val="30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40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Flucloxacillin i.v.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4 x 2 g oder 6 x 1g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nach Indikation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Bei </w:t>
            </w:r>
            <w:r>
              <w:rPr>
                <w:rFonts w:ascii="Arial" w:hAnsi="Arial" w:cs="Arial"/>
                <w:i/>
                <w:sz w:val="16"/>
                <w:szCs w:val="16"/>
              </w:rPr>
              <w:t>S. aureus</w:t>
            </w:r>
            <w:r>
              <w:rPr>
                <w:rFonts w:ascii="Arial" w:hAnsi="Arial" w:cs="Arial"/>
                <w:sz w:val="16"/>
                <w:szCs w:val="16"/>
              </w:rPr>
              <w:t>-Bakteriämie hoch dosieren 8-12g/Tag i.v., bei Meningitis 6 x 2g iv</w:t>
            </w:r>
          </w:p>
        </w:tc>
      </w:tr>
      <w:tr w:rsidR="00DE4A3F">
        <w:trPr>
          <w:trHeight w:val="30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4640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Flucloxacillin p.o.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 x 1 g p.o.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nach Indikation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Vergleichsweise niedrige orale Bioverfügbarkeit von Flucloxacillin beachten, daher bei schweren Infektionen nur i.v. </w:t>
            </w:r>
            <w:r>
              <w:rPr>
                <w:rFonts w:ascii="Arial" w:hAnsi="Arial" w:cs="Arial"/>
                <w:sz w:val="16"/>
                <w:szCs w:val="16"/>
              </w:rPr>
              <w:t>einsetzen. Alternativen mit besserer oraler Bioverfügbarkeit sind Cefalexin und Cefaclor.</w:t>
            </w:r>
          </w:p>
        </w:tc>
      </w:tr>
      <w:tr w:rsidR="00DE4A3F">
        <w:trPr>
          <w:trHeight w:val="30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14">
              <w:r w:rsidRPr="007F68D7">
                <w:rPr>
                  <w:rFonts w:ascii="Arial" w:hAnsi="Arial" w:cs="Arial"/>
                  <w:b/>
                  <w:sz w:val="16"/>
                  <w:szCs w:val="16"/>
                </w:rPr>
                <w:t>Mecillinam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B5048B" w:rsidP="00464026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 x 0,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2-0,4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g p.o.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ur für unkomplizierte Harnwegsinfektionen</w:t>
            </w:r>
          </w:p>
        </w:tc>
      </w:tr>
      <w:tr w:rsidR="00DE4A3F">
        <w:trPr>
          <w:trHeight w:val="30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15">
              <w:r w:rsidRPr="00464026">
                <w:rPr>
                  <w:rFonts w:ascii="Arial" w:hAnsi="Arial" w:cs="Arial"/>
                  <w:b/>
                  <w:bCs/>
                  <w:sz w:val="16"/>
                  <w:szCs w:val="16"/>
                </w:rPr>
                <w:t>Temocillin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x 2 g i.v.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x 2 g i.v.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Für unkomplizierte Harnwegsinfektionen ist evtl. auch 2 x 2 g ausreichend </w:t>
            </w:r>
          </w:p>
        </w:tc>
      </w:tr>
      <w:tr w:rsidR="00DE4A3F">
        <w:trPr>
          <w:trHeight w:val="135"/>
        </w:trPr>
        <w:tc>
          <w:tcPr>
            <w:tcW w:w="1988" w:type="dxa"/>
            <w:tcBorders>
              <w:top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6642" w:type="dxa"/>
            <w:tcBorders>
              <w:top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</w:tbl>
    <w:tbl>
      <w:tblPr>
        <w:tblW w:w="1494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8"/>
        <w:gridCol w:w="2127"/>
        <w:gridCol w:w="1987"/>
        <w:gridCol w:w="2185"/>
        <w:gridCol w:w="6653"/>
      </w:tblGrid>
      <w:tr w:rsidR="00DE4A3F">
        <w:trPr>
          <w:trHeight w:val="30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40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Cephalosporine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Standarddosierung*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Hohe Dosierung*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Unkomplizierte HWI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vertAlign w:val="superscript"/>
                <w:lang w:eastAsia="de-DE"/>
              </w:rPr>
              <w:t>§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Bemerkungen</w:t>
            </w:r>
          </w:p>
        </w:tc>
      </w:tr>
      <w:tr w:rsidR="00DE4A3F">
        <w:trPr>
          <w:trHeight w:val="30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40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Cefaclor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 x 0,25-0,5 g p.o.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 x 1 g p.o.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de-DE"/>
              </w:rPr>
              <w:t>Staphylococcus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spp: Mindestdosierung 3 x 0,5 g</w:t>
            </w:r>
          </w:p>
          <w:p w:rsidR="00DE4A3F" w:rsidRDefault="00B5048B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Höchstdosis 4 g p.o.</w:t>
            </w:r>
          </w:p>
        </w:tc>
      </w:tr>
      <w:tr w:rsidR="00DE4A3F">
        <w:trPr>
          <w:trHeight w:val="30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40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Cefadroxil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 x 0,5-1 g p.o.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 x 0,5-1 g p.o.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Höchstdosis 4 g p.o.</w:t>
            </w:r>
          </w:p>
        </w:tc>
      </w:tr>
      <w:tr w:rsidR="00DE4A3F">
        <w:trPr>
          <w:trHeight w:val="30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40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Cefalexin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2-3 x 0,25-1 g p.o.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2-3 x 0,25-1 g p.o.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Höchstdosis 4 g p.o.</w:t>
            </w:r>
          </w:p>
        </w:tc>
      </w:tr>
      <w:tr w:rsidR="00DE4A3F">
        <w:trPr>
          <w:trHeight w:val="30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40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Cefazolin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pStyle w:val="Listenabsatz"/>
              <w:widowControl w:val="0"/>
              <w:numPr>
                <w:ilvl w:val="1"/>
                <w:numId w:val="1"/>
              </w:numPr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x 1 g i.v.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 x 2 g i.v.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Höchstdosis 12 g i.v.</w:t>
            </w:r>
          </w:p>
        </w:tc>
      </w:tr>
      <w:tr w:rsidR="00DE4A3F">
        <w:trPr>
          <w:trHeight w:val="30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640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Cefepim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3 x 1 g i.v. oder 2 x 2 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 i.v.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 x 2 g i.v.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Schwere </w:t>
            </w:r>
            <w:r>
              <w:rPr>
                <w:rFonts w:ascii="Arial" w:hAnsi="Arial" w:cs="Arial"/>
                <w:i/>
                <w:sz w:val="16"/>
                <w:szCs w:val="16"/>
              </w:rPr>
              <w:t>P. aeruginosa</w:t>
            </w:r>
            <w:r>
              <w:rPr>
                <w:rFonts w:ascii="Arial" w:hAnsi="Arial" w:cs="Arial"/>
                <w:sz w:val="16"/>
                <w:szCs w:val="16"/>
              </w:rPr>
              <w:t xml:space="preserve"> Infektionen: 3 x 2 g über 4 Stunden</w:t>
            </w:r>
          </w:p>
        </w:tc>
      </w:tr>
      <w:tr w:rsidR="00DE4A3F">
        <w:trPr>
          <w:trHeight w:val="50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64026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464026">
              <w:rPr>
                <w:rFonts w:ascii="Arial" w:hAnsi="Arial" w:cs="Arial"/>
                <w:b/>
                <w:sz w:val="16"/>
                <w:szCs w:val="16"/>
              </w:rPr>
              <w:t>efiderocol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>3 x 2 g i.v. über 3 Stunden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46402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Augmented renal clearance (CrCL ≥ 120 mL/min): </w:t>
            </w:r>
          </w:p>
          <w:p w:rsidR="00DE4A3F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2g alle 6 Stunden als i.v.-Infusion über 3 Stunden</w:t>
            </w:r>
          </w:p>
        </w:tc>
      </w:tr>
      <w:tr w:rsidR="00DE4A3F">
        <w:trPr>
          <w:trHeight w:val="27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640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Cefixim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 x 0,2-0,4 g p.o.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B5048B" w:rsidP="00464026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2 x 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0,2-0,4 g p.o.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Unkomplizierte Gonorrhoe: </w:t>
            </w:r>
            <w:r>
              <w:rPr>
                <w:rFonts w:ascii="Arial" w:hAnsi="Arial" w:cs="Arial"/>
                <w:sz w:val="16"/>
                <w:szCs w:val="16"/>
              </w:rPr>
              <w:t>0,4 g p.o. als Einmalgabe</w:t>
            </w:r>
          </w:p>
        </w:tc>
      </w:tr>
      <w:tr w:rsidR="00DE4A3F">
        <w:trPr>
          <w:trHeight w:val="50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16">
              <w:r w:rsidRPr="00464026">
                <w:rPr>
                  <w:rFonts w:ascii="Arial" w:hAnsi="Arial" w:cs="Arial"/>
                  <w:b/>
                  <w:sz w:val="16"/>
                  <w:szCs w:val="16"/>
                </w:rPr>
                <w:t>Cefotaxim</w:t>
              </w:r>
            </w:hyperlink>
            <w:r w:rsidRPr="00464026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de-DE"/>
              </w:rPr>
              <w:t xml:space="preserve"> </w:t>
            </w:r>
            <w:r w:rsidRPr="00464026">
              <w:rPr>
                <w:rFonts w:ascii="Cambria Math" w:hAnsi="Cambria Math" w:cs="Cambria Math"/>
                <w:b/>
                <w:color w:val="FF0000"/>
                <w:sz w:val="16"/>
                <w:szCs w:val="16"/>
              </w:rPr>
              <w:t>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 x 1 g i.v.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 x 2 g i.v.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Höchstdosis 12 g i.v.; bei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Meningitis: </w:t>
            </w:r>
            <w:r>
              <w:rPr>
                <w:rFonts w:ascii="Arial" w:hAnsi="Arial" w:cs="Arial"/>
                <w:bCs/>
                <w:sz w:val="16"/>
                <w:szCs w:val="16"/>
              </w:rPr>
              <w:t>4 x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 g i.v.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Staphylococcus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spp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nur hohe Dosierung, besser wirksame Alternativen (Flucloxacillin i.v., Cefazolin) bevorzugen! </w:t>
            </w:r>
          </w:p>
        </w:tc>
      </w:tr>
      <w:tr w:rsidR="00DE4A3F">
        <w:trPr>
          <w:trHeight w:val="30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640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Cefpodoxim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 x 0,1 - 0,2 g p.o.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 x 0,1 - 0,2 g p.o.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DE4A3F">
        <w:trPr>
          <w:trHeight w:hRule="exact" w:val="486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17">
              <w:r w:rsidRPr="00464026">
                <w:rPr>
                  <w:rFonts w:ascii="Arial" w:hAnsi="Arial" w:cs="Arial"/>
                  <w:b/>
                  <w:sz w:val="16"/>
                  <w:szCs w:val="16"/>
                </w:rPr>
                <w:t>Ceftarolin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2 x 0,6 g i.v. über 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>1 Stunde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3 x 0,6 g i.v. über 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>2 Stunden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S. aureus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bei kompliz. Hautinfektionen: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Nach vorliegenden </w:t>
            </w:r>
            <w:r>
              <w:rPr>
                <w:rFonts w:ascii="Arial" w:hAnsi="Arial" w:cs="Arial"/>
                <w:sz w:val="16"/>
                <w:szCs w:val="16"/>
              </w:rPr>
              <w:t>PK-PD Daten können Isolate mit einer MHK von 4 mg/l möglicherweise mit der hohen Dosierung behandelt werden.</w:t>
            </w:r>
          </w:p>
        </w:tc>
      </w:tr>
      <w:tr w:rsidR="00DE4A3F">
        <w:trPr>
          <w:trHeight w:val="6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18">
              <w:r w:rsidRPr="00464026">
                <w:rPr>
                  <w:rFonts w:ascii="Arial" w:hAnsi="Arial" w:cs="Arial"/>
                  <w:b/>
                  <w:sz w:val="16"/>
                </w:rPr>
                <w:t>Ceftazidim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 x 1 g i.v.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 x 2 g i.v. oder 6 x 1 g i.v.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Höchstdosis 9 g i.v.</w:t>
            </w:r>
          </w:p>
        </w:tc>
      </w:tr>
      <w:tr w:rsidR="00DE4A3F">
        <w:trPr>
          <w:trHeight w:val="30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19">
              <w:r w:rsidRPr="00464026">
                <w:rPr>
                  <w:rFonts w:ascii="Arial" w:hAnsi="Arial" w:cs="Arial"/>
                  <w:b/>
                  <w:sz w:val="16"/>
                  <w:szCs w:val="16"/>
                </w:rPr>
                <w:t>Ceftazidim-Avibactam</w:t>
              </w:r>
            </w:hyperlink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 x (2 g Ceftazidim + 0,5 g Avibactam) i.v. über 2 Stunden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DE4A3F">
        <w:trPr>
          <w:trHeight w:val="30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20">
              <w:r w:rsidRPr="00464026">
                <w:rPr>
                  <w:rFonts w:ascii="Arial" w:hAnsi="Arial" w:cs="Arial"/>
                  <w:b/>
                  <w:sz w:val="16"/>
                </w:rPr>
                <w:t>Ceftobiprol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 x 0,5 g i.v. über 2 h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DE4A3F">
        <w:trPr>
          <w:trHeight w:val="45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40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Ceftolozan-Tazobactam </w:t>
            </w:r>
            <w:r w:rsidRPr="00464026"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de-DE"/>
              </w:rPr>
              <w:t>(intraabd. Infekt. und HWI)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3 x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(1 g Ceftolozan + 0,5 g Tazobactam) i.v.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br/>
              <w:t>über 1 Stunde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strike/>
                <w:color w:val="000000"/>
                <w:sz w:val="16"/>
                <w:szCs w:val="16"/>
                <w:lang w:eastAsia="de-DE"/>
              </w:rPr>
            </w:pPr>
          </w:p>
        </w:tc>
      </w:tr>
    </w:tbl>
    <w:p w:rsidR="00DE4A3F" w:rsidRDefault="00DE4A3F"/>
    <w:tbl>
      <w:tblPr>
        <w:tblW w:w="1494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2112"/>
        <w:gridCol w:w="1987"/>
        <w:gridCol w:w="2198"/>
        <w:gridCol w:w="2394"/>
        <w:gridCol w:w="4241"/>
        <w:gridCol w:w="160"/>
      </w:tblGrid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Cephalosporine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Standarddosierung*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Hohe Dosierung*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Unkomplizierte HWI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vertAlign w:val="superscript"/>
                <w:lang w:eastAsia="de-DE"/>
              </w:rPr>
              <w:t>§</w:t>
            </w: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Bemerkungen</w:t>
            </w:r>
          </w:p>
        </w:tc>
      </w:tr>
      <w:tr w:rsidR="00DE4A3F">
        <w:trPr>
          <w:trHeight w:val="45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F68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Ceftolozan-Tazobactam </w:t>
            </w:r>
            <w:r w:rsidRPr="007F68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br/>
            </w:r>
            <w:r w:rsidRPr="007F68D7"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de-DE"/>
              </w:rPr>
              <w:t>(HAP einschl. VAP)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3 x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(2 g Ceftolozan + 1 g Tazobactam) i.v.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br/>
              <w:t>über 1 Stunde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strike/>
                <w:color w:val="000000"/>
                <w:sz w:val="16"/>
                <w:szCs w:val="16"/>
                <w:lang w:eastAsia="de-DE"/>
              </w:rPr>
            </w:pP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F68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Ceftriaxon</w:t>
            </w:r>
            <w:r w:rsidRPr="007F68D7">
              <w:rPr>
                <w:rFonts w:ascii="Cambria Math" w:hAnsi="Cambria Math" w:cs="Cambria Math"/>
                <w:b/>
                <w:color w:val="FF0000"/>
                <w:sz w:val="16"/>
                <w:szCs w:val="16"/>
              </w:rPr>
              <w:t>↯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 x 2 g i.v.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 x 2 g i.v. oder 1 x 4 g i.v.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Meningitis: 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 x 4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 i.v.</w:t>
            </w:r>
          </w:p>
          <w:p w:rsidR="00DE4A3F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bCs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Staphylococcus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spp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nur hohe Dosierung; besser wirksame Alternativen (Flucloxacillin i.v., Cefazolin) bevorzugen! </w:t>
            </w: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21">
              <w:r w:rsidRPr="007F68D7">
                <w:rPr>
                  <w:rFonts w:ascii="Arial" w:hAnsi="Arial" w:cs="Arial"/>
                  <w:b/>
                  <w:sz w:val="16"/>
                  <w:szCs w:val="16"/>
                </w:rPr>
                <w:t>Cefuroxim i.v</w:t>
              </w:r>
            </w:hyperlink>
            <w:r w:rsidRPr="007F68D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 x 0,75 g i.v.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 x 1,5 g i.v.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pStyle w:val="Default"/>
              <w:widowControl w:val="0"/>
              <w:rPr>
                <w:rFonts w:eastAsia="Times New Roman"/>
                <w:i/>
                <w:sz w:val="16"/>
                <w:szCs w:val="22"/>
                <w:lang w:eastAsia="de-DE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pStyle w:val="Default"/>
              <w:widowControl w:val="0"/>
              <w:rPr>
                <w:rFonts w:eastAsia="Times New Roman"/>
                <w:i/>
                <w:strike/>
                <w:sz w:val="16"/>
                <w:lang w:eastAsia="de-DE"/>
              </w:rPr>
            </w:pP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F68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Cefuroxim oral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 x 0,25 g p.o.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strike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 x 0,5 g p.o.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 x 0,25 g p.o.</w:t>
            </w: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>Geringe orale Bioverfügbarkeit (ca. 40%) beachten!</w:t>
            </w:r>
          </w:p>
          <w:p w:rsidR="00DE4A3F" w:rsidRDefault="00B5048B">
            <w:pPr>
              <w:widowControl w:val="0"/>
              <w:spacing w:before="40"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>Bei Harnwegsinfektionen nur für unkomplizierte HWI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 xml:space="preserve">durch </w:t>
            </w:r>
            <w:r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br/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lang w:eastAsia="de-DE"/>
              </w:rPr>
              <w:t>E. coli, P. mirabilis,</w:t>
            </w:r>
            <w:r>
              <w:rPr>
                <w:rFonts w:eastAsia="Times New Roman"/>
                <w:i/>
                <w:sz w:val="16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lang w:eastAsia="de-DE"/>
              </w:rPr>
              <w:t xml:space="preserve">Raoultella </w:t>
            </w:r>
            <w:r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>spp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lang w:eastAsia="de-DE"/>
              </w:rPr>
              <w:t xml:space="preserve">., Klebsiella </w:t>
            </w:r>
            <w:r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>spp. (außer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lang w:eastAsia="de-DE"/>
              </w:rPr>
              <w:t xml:space="preserve"> K. aerogenes) </w:t>
            </w:r>
            <w:r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>geeignet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lang w:eastAsia="de-DE"/>
              </w:rPr>
              <w:t xml:space="preserve">  </w:t>
            </w:r>
          </w:p>
        </w:tc>
      </w:tr>
      <w:tr w:rsidR="00DE4A3F">
        <w:trPr>
          <w:trHeight w:hRule="exact" w:val="300"/>
        </w:trPr>
        <w:tc>
          <w:tcPr>
            <w:tcW w:w="1867" w:type="dxa"/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2133" w:type="dxa"/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2007" w:type="dxa"/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2220" w:type="dxa"/>
            <w:tcBorders>
              <w:bottom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419" w:type="dxa"/>
          </w:tcPr>
          <w:p w:rsidR="00DE4A3F" w:rsidRDefault="00DE4A3F">
            <w:pPr>
              <w:widowControl w:val="0"/>
            </w:pPr>
          </w:p>
        </w:tc>
        <w:tc>
          <w:tcPr>
            <w:tcW w:w="4286" w:type="dxa"/>
          </w:tcPr>
          <w:p w:rsidR="00DE4A3F" w:rsidRDefault="00DE4A3F">
            <w:pPr>
              <w:widowControl w:val="0"/>
            </w:pPr>
          </w:p>
        </w:tc>
        <w:tc>
          <w:tcPr>
            <w:tcW w:w="7" w:type="dxa"/>
          </w:tcPr>
          <w:p w:rsidR="00DE4A3F" w:rsidRDefault="00DE4A3F">
            <w:pPr>
              <w:widowControl w:val="0"/>
            </w:pP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rPr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Carbapeneme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Standarddosierung*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Hohe Dosierung*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Unkomplizierte HWI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vertAlign w:val="superscript"/>
                <w:lang w:eastAsia="de-DE"/>
              </w:rPr>
              <w:t>§</w:t>
            </w: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rPr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Bemerkungen</w:t>
            </w: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22">
              <w:r w:rsidRPr="007F68D7">
                <w:rPr>
                  <w:rFonts w:ascii="Arial" w:hAnsi="Arial" w:cs="Arial"/>
                  <w:b/>
                  <w:sz w:val="16"/>
                  <w:szCs w:val="16"/>
                </w:rPr>
                <w:t>Ertapenem</w:t>
              </w:r>
            </w:hyperlink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 x 1 g i.v. über 30 min.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</w:pPr>
          </w:p>
        </w:tc>
      </w:tr>
      <w:tr w:rsidR="00DE4A3F">
        <w:trPr>
          <w:trHeight w:val="73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23">
              <w:r w:rsidRPr="007F68D7">
                <w:rPr>
                  <w:rFonts w:ascii="Arial" w:hAnsi="Arial" w:cs="Arial"/>
                  <w:b/>
                  <w:sz w:val="16"/>
                  <w:szCs w:val="16"/>
                </w:rPr>
                <w:t>Imipenem</w:t>
              </w:r>
            </w:hyperlink>
            <w:r w:rsidRPr="007F68D7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de-DE"/>
              </w:rPr>
              <w:t xml:space="preserve"> </w:t>
            </w:r>
            <w:r w:rsidRPr="007F68D7">
              <w:rPr>
                <w:rFonts w:ascii="Cambria Math" w:hAnsi="Cambria Math" w:cs="Cambria Math"/>
                <w:b/>
                <w:color w:val="FF0000"/>
                <w:sz w:val="16"/>
                <w:szCs w:val="16"/>
              </w:rPr>
              <w:t>↯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 x 0,5 g i.v. über 30 min</w:t>
            </w:r>
          </w:p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  <w:t>(=4 x 0,5 g Imipenem + 0,5 g Cilastatin)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 x 1 g i.v. über 30 min.</w:t>
            </w:r>
          </w:p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  <w:t xml:space="preserve">(=4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  <w:t xml:space="preserve">x 1 g Imipenem + 1 g Cilastatin)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lang w:val="en-US" w:eastAsia="de-DE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Deutschland ist auch eine Dosierung von 3 x 1 g Imipenem zugelassen.</w:t>
            </w:r>
          </w:p>
        </w:tc>
      </w:tr>
      <w:tr w:rsidR="00DE4A3F">
        <w:trPr>
          <w:trHeight w:val="73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F68D7">
              <w:rPr>
                <w:rFonts w:ascii="Arial" w:hAnsi="Arial" w:cs="Arial"/>
                <w:b/>
                <w:sz w:val="16"/>
                <w:szCs w:val="16"/>
              </w:rPr>
              <w:t>Imipenem-Relebactam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MT" w:hAnsi="ArialMT" w:cs="ArialMT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 x (0,5 g Imipenem + 0,25 g Relebactam) i.v. über 30 min.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-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lang w:val="en-US" w:eastAsia="de-DE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lang w:eastAsia="de-DE"/>
              </w:rPr>
            </w:pP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24">
              <w:r w:rsidRPr="007F68D7">
                <w:rPr>
                  <w:rFonts w:ascii="Arial" w:hAnsi="Arial" w:cs="Arial"/>
                  <w:b/>
                  <w:sz w:val="16"/>
                  <w:szCs w:val="16"/>
                </w:rPr>
                <w:t>Meropenem</w:t>
              </w:r>
            </w:hyperlink>
            <w:r w:rsidRPr="007F68D7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de-DE"/>
              </w:rPr>
              <w:t xml:space="preserve"> </w:t>
            </w:r>
            <w:r w:rsidRPr="007F68D7">
              <w:rPr>
                <w:rFonts w:ascii="Cambria Math" w:hAnsi="Cambria Math" w:cs="Cambria Math"/>
                <w:b/>
                <w:color w:val="FF0000"/>
                <w:sz w:val="16"/>
                <w:szCs w:val="16"/>
              </w:rPr>
              <w:t>↯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 x 1 g i.v. über 30 min.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 x 2 g i.v. über 3 Stunden.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line="240" w:lineRule="auto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Meningitis:</w:t>
            </w:r>
            <w:r>
              <w:rPr>
                <w:rFonts w:ascii="Arial" w:hAnsi="Arial" w:cs="Arial"/>
                <w:sz w:val="16"/>
                <w:szCs w:val="16"/>
              </w:rPr>
              <w:t xml:space="preserve"> 3 x 2 g i.v. über 30 min. oder 3 Stunden</w:t>
            </w: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25">
              <w:r w:rsidRPr="007F68D7">
                <w:rPr>
                  <w:rFonts w:ascii="Arial" w:hAnsi="Arial" w:cs="Arial"/>
                  <w:b/>
                  <w:sz w:val="16"/>
                  <w:szCs w:val="16"/>
                </w:rPr>
                <w:t>Meropenem-Vaborbactam</w:t>
              </w:r>
            </w:hyperlink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MT" w:hAnsi="ArialMT" w:cs="ArialMT"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 x (2 g Meropenem + 2 g Vaborbactam) i.v. über 3 h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E4A3F">
        <w:trPr>
          <w:trHeight w:hRule="exact" w:val="300"/>
        </w:trPr>
        <w:tc>
          <w:tcPr>
            <w:tcW w:w="1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21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rPr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Monobactame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Standarddosierung*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Hohe Dosierung*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Unkomplizierte HWI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vertAlign w:val="superscript"/>
                <w:lang w:eastAsia="de-DE"/>
              </w:rPr>
              <w:t>§</w:t>
            </w: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rPr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Bemerkungen</w:t>
            </w: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Aztreonam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 x 1 g i.v.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 x 2 g i.v.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lang w:eastAsia="de-DE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strike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Schwere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P. aeruginosa</w:t>
            </w:r>
            <w:r>
              <w:rPr>
                <w:rFonts w:ascii="Arial" w:hAnsi="Arial" w:cs="Arial"/>
                <w:sz w:val="16"/>
                <w:szCs w:val="16"/>
              </w:rPr>
              <w:t xml:space="preserve"> Infektionen: 4 x 2 g über 3 Stunden</w:t>
            </w:r>
          </w:p>
        </w:tc>
      </w:tr>
      <w:tr w:rsidR="00DE4A3F">
        <w:trPr>
          <w:trHeight w:hRule="exact" w:val="300"/>
        </w:trPr>
        <w:tc>
          <w:tcPr>
            <w:tcW w:w="1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21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rPr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Fluorchinolone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Standarddosierung*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Hohe Dosierung*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Unkomplizierte HWI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vertAlign w:val="superscript"/>
                <w:lang w:eastAsia="de-DE"/>
              </w:rPr>
              <w:t>§</w:t>
            </w: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rPr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Bemerkungen</w:t>
            </w: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26">
              <w:r w:rsidRPr="007F68D7">
                <w:rPr>
                  <w:rFonts w:ascii="Arial" w:hAnsi="Arial" w:cs="Arial"/>
                  <w:b/>
                  <w:sz w:val="16"/>
                  <w:szCs w:val="16"/>
                </w:rPr>
                <w:t>Ciprofloxacin</w:t>
              </w:r>
            </w:hyperlink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2 x 0,5 g p.o. oder 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>2 x 0,4 g i.v.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 x 0,75 g p.o. oder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>3 x 0,4 g i.v.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lang w:eastAsia="de-DE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Staphylococcus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spp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nur hohe Dosierung;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besser wirksame Alternativen (Flucloxacillin i.v., Cefazolin i.v.) bevorzugen! </w:t>
            </w:r>
            <w:r>
              <w:rPr>
                <w:rFonts w:ascii="Arial" w:hAnsi="Arial" w:cs="Arial"/>
                <w:b/>
                <w:sz w:val="16"/>
                <w:szCs w:val="16"/>
              </w:rPr>
              <w:t>Meningitis</w:t>
            </w:r>
            <w:r>
              <w:rPr>
                <w:rFonts w:ascii="Arial" w:hAnsi="Arial" w:cs="Arial"/>
                <w:bCs/>
                <w:sz w:val="16"/>
                <w:szCs w:val="16"/>
              </w:rPr>
              <w:t>: 3 x 0,4 g i.v.</w:t>
            </w: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27">
              <w:r w:rsidRPr="007F68D7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de-DE"/>
                </w:rPr>
                <w:t>Delafloxacin</w:t>
              </w:r>
            </w:hyperlink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2 x 0,45 g p.o. 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>oder 2 x 0,3 g i.v.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lang w:eastAsia="de-DE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lang w:eastAsia="de-DE"/>
              </w:rPr>
            </w:pP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28">
              <w:r w:rsidRPr="007F68D7">
                <w:rPr>
                  <w:rFonts w:ascii="Arial" w:hAnsi="Arial" w:cs="Arial"/>
                  <w:b/>
                  <w:sz w:val="16"/>
                  <w:szCs w:val="16"/>
                </w:rPr>
                <w:t>Levofloxacin</w:t>
              </w:r>
            </w:hyperlink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1 x 0,5 g p.o. oder 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>1 x 0,5 i.v.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2 x 0,5 g p.o. oder 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>2 x 0,5 g i.v.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lang w:eastAsia="de-DE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rPr>
                <w:strike/>
              </w:rPr>
            </w:pPr>
          </w:p>
        </w:tc>
      </w:tr>
      <w:tr w:rsidR="00DE4A3F" w:rsidRPr="00464026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29">
              <w:r w:rsidRPr="007F68D7">
                <w:rPr>
                  <w:rFonts w:ascii="Arial" w:hAnsi="Arial" w:cs="Arial"/>
                  <w:b/>
                  <w:sz w:val="16"/>
                  <w:szCs w:val="16"/>
                </w:rPr>
                <w:t>Moxifloxacin</w:t>
              </w:r>
            </w:hyperlink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1 x 0,4 g p.o. oder 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>1 x 0,4 g i.v.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lang w:eastAsia="de-DE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lang w:val="en-US" w:eastAsia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Meningitis: 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 x 0,4 g i.v.</w:t>
            </w: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F68D7">
              <w:rPr>
                <w:rFonts w:ascii="Arial" w:hAnsi="Arial" w:cs="Arial"/>
                <w:b/>
                <w:sz w:val="16"/>
                <w:szCs w:val="16"/>
              </w:rPr>
              <w:t>Norfloxacin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 x 0,4 g p.o.</w:t>
            </w: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</w:pP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F68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lastRenderedPageBreak/>
              <w:t>Aminoglykoside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sz w:val="16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7"/>
                <w:lang w:eastAsia="de-DE"/>
              </w:rPr>
              <w:t>Standarddosierung*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sz w:val="16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7"/>
                <w:lang w:eastAsia="de-DE"/>
              </w:rPr>
              <w:t>Hohe Dosierung*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7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Unkomplizierte HWI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vertAlign w:val="superscript"/>
                <w:lang w:eastAsia="de-DE"/>
              </w:rPr>
              <w:t>§</w:t>
            </w: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rPr>
                <w:sz w:val="16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7"/>
                <w:lang w:eastAsia="de-DE"/>
              </w:rPr>
              <w:t>Bemerkungen</w:t>
            </w: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30">
              <w:r w:rsidRPr="007F68D7">
                <w:rPr>
                  <w:rFonts w:ascii="Arial" w:hAnsi="Arial" w:cs="Arial"/>
                  <w:b/>
                  <w:sz w:val="16"/>
                  <w:szCs w:val="16"/>
                </w:rPr>
                <w:t>Amikacin</w:t>
              </w:r>
            </w:hyperlink>
            <w:r w:rsidRPr="007F68D7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de-DE"/>
              </w:rPr>
              <w:t xml:space="preserve"> </w:t>
            </w:r>
            <w:r w:rsidRPr="007F68D7">
              <w:rPr>
                <w:rFonts w:ascii="Cambria Math" w:hAnsi="Cambria Math" w:cs="Cambria Math"/>
                <w:b/>
                <w:color w:val="FF0000"/>
                <w:sz w:val="16"/>
                <w:szCs w:val="16"/>
              </w:rPr>
              <w:t>↯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b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 x 25-</w:t>
            </w:r>
            <w:r>
              <w:rPr>
                <w:rFonts w:ascii="Arial" w:eastAsia="Times New Roman" w:hAnsi="Arial" w:cs="Arial"/>
                <w:sz w:val="16"/>
                <w:szCs w:val="16"/>
                <w:highlight w:val="red"/>
                <w:lang w:eastAsia="de-DE"/>
              </w:rPr>
              <w:t xml:space="preserve">30 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mg/kg i.v.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jc w:val="center"/>
            </w:pP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>Die Dosierungsangaben gelten nur für die Kombinations</w:t>
            </w:r>
            <w:r w:rsidR="004D0481"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softHyphen/>
            </w:r>
            <w:r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>therapie von Aminoglykosid mit einem weiteren empfindlich getesteten Antibiotikum (Ausnahme: Harnwegs</w:t>
            </w:r>
            <w:r w:rsidR="004D0481"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softHyphen/>
            </w:r>
            <w:r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 xml:space="preserve">infektionen durch Gram-negative Erreger). </w:t>
            </w:r>
          </w:p>
        </w:tc>
        <w:tc>
          <w:tcPr>
            <w:tcW w:w="4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highlight w:val="red"/>
                <w:lang w:eastAsia="de-DE"/>
              </w:rPr>
              <w:t>In Deutschland empfohlene Höchstdosis gemäß Zulassung 1,5 g</w:t>
            </w:r>
            <w:r>
              <w:rPr>
                <w:rFonts w:ascii="Arial" w:eastAsia="Times New Roman" w:hAnsi="Arial" w:cs="Arial"/>
                <w:sz w:val="16"/>
                <w:szCs w:val="16"/>
                <w:highlight w:val="red"/>
                <w:lang w:eastAsia="de-DE"/>
              </w:rPr>
              <w:t>/Tag!</w:t>
            </w:r>
          </w:p>
        </w:tc>
      </w:tr>
      <w:tr w:rsidR="00DE4A3F">
        <w:trPr>
          <w:trHeight w:val="35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31">
              <w:r w:rsidRPr="007F68D7">
                <w:rPr>
                  <w:rFonts w:ascii="Arial" w:hAnsi="Arial" w:cs="Arial"/>
                  <w:b/>
                  <w:sz w:val="16"/>
                  <w:szCs w:val="16"/>
                </w:rPr>
                <w:t>Gentamicin</w:t>
              </w:r>
            </w:hyperlink>
            <w:r w:rsidRPr="007F68D7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de-DE"/>
              </w:rPr>
              <w:t xml:space="preserve"> </w:t>
            </w:r>
            <w:r w:rsidRPr="007F68D7">
              <w:rPr>
                <w:rFonts w:ascii="Cambria Math" w:hAnsi="Cambria Math" w:cs="Cambria Math"/>
                <w:b/>
                <w:color w:val="FF0000"/>
                <w:sz w:val="16"/>
                <w:szCs w:val="16"/>
              </w:rPr>
              <w:t>↯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 x 6-</w:t>
            </w:r>
            <w:r>
              <w:rPr>
                <w:rFonts w:ascii="Arial" w:eastAsia="Times New Roman" w:hAnsi="Arial" w:cs="Arial"/>
                <w:sz w:val="16"/>
                <w:szCs w:val="16"/>
                <w:highlight w:val="red"/>
                <w:lang w:eastAsia="de-DE"/>
              </w:rPr>
              <w:t>7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mg/kg i.v.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jc w:val="center"/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</w:pPr>
          </w:p>
        </w:tc>
        <w:tc>
          <w:tcPr>
            <w:tcW w:w="4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  <w:highlight w:val="red"/>
                <w:lang w:eastAsia="de-DE"/>
              </w:rPr>
              <w:t>In Deutschland empfohlene Höchstdosis gemäß Zulassung 6 mg/kg KG i.v. innerhalb</w:t>
            </w:r>
            <w:r>
              <w:rPr>
                <w:rFonts w:ascii="Arial" w:eastAsia="Times New Roman" w:hAnsi="Arial" w:cs="Arial"/>
                <w:sz w:val="16"/>
                <w:szCs w:val="16"/>
                <w:highlight w:val="red"/>
                <w:lang w:eastAsia="de-DE"/>
              </w:rPr>
              <w:t xml:space="preserve"> von 24h</w:t>
            </w: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32">
              <w:r w:rsidRPr="007F68D7">
                <w:rPr>
                  <w:rFonts w:ascii="Arial" w:hAnsi="Arial" w:cs="Arial"/>
                  <w:b/>
                  <w:sz w:val="16"/>
                  <w:szCs w:val="16"/>
                </w:rPr>
                <w:t>Tobramycin</w:t>
              </w:r>
            </w:hyperlink>
            <w:r w:rsidRPr="007F68D7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de-DE"/>
              </w:rPr>
              <w:t xml:space="preserve"> </w:t>
            </w:r>
            <w:r w:rsidRPr="007F68D7">
              <w:rPr>
                <w:rFonts w:ascii="Cambria Math" w:hAnsi="Cambria Math" w:cs="Cambria Math"/>
                <w:b/>
                <w:color w:val="FF0000"/>
                <w:sz w:val="16"/>
                <w:szCs w:val="16"/>
              </w:rPr>
              <w:t>↯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 x 6-</w:t>
            </w:r>
            <w:r>
              <w:rPr>
                <w:rFonts w:ascii="Arial" w:eastAsia="Times New Roman" w:hAnsi="Arial" w:cs="Arial"/>
                <w:sz w:val="16"/>
                <w:szCs w:val="16"/>
                <w:highlight w:val="red"/>
                <w:lang w:eastAsia="de-DE"/>
              </w:rPr>
              <w:t>7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mg/kg i.v.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jc w:val="center"/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</w:pPr>
          </w:p>
        </w:tc>
        <w:tc>
          <w:tcPr>
            <w:tcW w:w="4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</w:pP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</w:pPr>
          </w:p>
        </w:tc>
        <w:tc>
          <w:tcPr>
            <w:tcW w:w="21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jc w:val="center"/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</w:pP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E4A3F" w:rsidRDefault="00B5048B">
            <w:pPr>
              <w:widowControl w:val="0"/>
              <w:spacing w:before="40" w:after="0" w:line="240" w:lineRule="auto"/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Glykopeptide/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br/>
              <w:t>Lipoglykopeptide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Standarddosierung*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highlight w:val="red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Hohe Dosierung*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Unkomplizierte HWI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vertAlign w:val="superscript"/>
                <w:lang w:eastAsia="de-DE"/>
              </w:rPr>
              <w:t>§</w:t>
            </w: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Bemerkungen</w:t>
            </w: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F68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Dalbavancin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1x 1,5 g i.v. als einmalige Anwendung oder 1 x 1 g i.v. über 30 min (Tag 1), gefolgt 1 x 0,5 g i.v. über 30 min an Tag 8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highlight w:val="red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jc w:val="center"/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F68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Oritavancin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1,2 g i.v. als Einmalgabe über 3 Stunden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highlight w:val="red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jc w:val="center"/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33">
              <w:r w:rsidRPr="007F68D7">
                <w:rPr>
                  <w:rFonts w:ascii="Arial" w:hAnsi="Arial" w:cs="Arial"/>
                  <w:b/>
                  <w:sz w:val="16"/>
                  <w:szCs w:val="16"/>
                </w:rPr>
                <w:t>Teicoplanin</w:t>
              </w:r>
            </w:hyperlink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  <w:t xml:space="preserve">1 x 0,4 g 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i.v.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highlight w:val="red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nach Indikation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jc w:val="center"/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Hohe Dosierung abhängig von Indikation, siehe Fachinformation. </w:t>
            </w:r>
            <w:r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>Therapeutisches Drug M</w:t>
            </w:r>
            <w:r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 xml:space="preserve">onitoring (TDM) empfohlen! Notwendigkeit einer Aufdosierung beachten. </w:t>
            </w: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F68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Telavancin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1 x 10 mg/kg i.v. über 1 Stunde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highlight w:val="red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jc w:val="center"/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34">
              <w:r w:rsidRPr="007F68D7">
                <w:rPr>
                  <w:rFonts w:ascii="Arial" w:hAnsi="Arial" w:cs="Arial"/>
                  <w:b/>
                  <w:sz w:val="16"/>
                  <w:szCs w:val="16"/>
                </w:rPr>
                <w:t>Vancomycin</w:t>
              </w:r>
            </w:hyperlink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4 x 0,5 g i.v. oder 2 x 1 g i.v. oder 1 x 2 g als kontinuierliche Infusion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highlight w:val="red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jc w:val="center"/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>Basierend auf Körpergewicht, Therapeutisches Drug Monitoring (TDM) empfohlen!</w:t>
            </w:r>
          </w:p>
        </w:tc>
      </w:tr>
      <w:tr w:rsidR="00DE4A3F">
        <w:trPr>
          <w:trHeight w:val="157"/>
        </w:trPr>
        <w:tc>
          <w:tcPr>
            <w:tcW w:w="1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</w:pPr>
          </w:p>
        </w:tc>
        <w:tc>
          <w:tcPr>
            <w:tcW w:w="21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jc w:val="center"/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</w:pPr>
          </w:p>
        </w:tc>
      </w:tr>
      <w:tr w:rsidR="00DE4A3F">
        <w:trPr>
          <w:trHeight w:val="51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rPr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 xml:space="preserve">Makrolide, Lincosamide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Standarddosierung*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Hohe Dosierung*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Unkomplizierte HWI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vertAlign w:val="superscript"/>
                <w:lang w:eastAsia="de-DE"/>
              </w:rPr>
              <w:t>§</w:t>
            </w: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rPr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Bemerkungen</w:t>
            </w:r>
          </w:p>
        </w:tc>
      </w:tr>
      <w:tr w:rsidR="00DE4A3F">
        <w:trPr>
          <w:trHeight w:val="45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Azithromycin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1 x 0,5 g p.o. oder 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>1 x 0,5 g i.v.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line="240" w:lineRule="auto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Gonorrhoe: </w:t>
            </w:r>
            <w:r>
              <w:rPr>
                <w:rFonts w:ascii="Arial" w:hAnsi="Arial" w:cs="Arial"/>
                <w:sz w:val="16"/>
                <w:szCs w:val="16"/>
              </w:rPr>
              <w:t>2 g p.o. als Einmalgabe</w:t>
            </w: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Clarithromycin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 x 0,25 g p.o.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strike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nach Indikation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pStyle w:val="StandardWeb"/>
              <w:widowControl w:val="0"/>
              <w:spacing w:after="0"/>
            </w:pPr>
            <w:r>
              <w:rPr>
                <w:rFonts w:ascii="Lato" w:hAnsi="Lato"/>
                <w:sz w:val="16"/>
                <w:szCs w:val="16"/>
              </w:rPr>
              <w:t xml:space="preserve">Bei schweren Infektionen kann die Dosis bis auf zweimal täglich 500 mg erhöht werden (z.B. bei ambulant </w:t>
            </w:r>
            <w:r>
              <w:rPr>
                <w:rFonts w:ascii="Lato" w:hAnsi="Lato"/>
                <w:sz w:val="16"/>
                <w:szCs w:val="16"/>
              </w:rPr>
              <w:t>erworbener Pneumonie)</w:t>
            </w: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Erythromycin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2-4 x 0,5 g p.o. oder 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>2-4 x 0,5 g i.v.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pStyle w:val="Listenabsatz"/>
              <w:widowControl w:val="0"/>
              <w:spacing w:before="40" w:after="0" w:line="240" w:lineRule="auto"/>
              <w:ind w:left="360"/>
              <w:rPr>
                <w:strike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nach Indikation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DE4A3F">
        <w:trPr>
          <w:trHeight w:val="454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 xml:space="preserve">Clindamycin </w:t>
            </w:r>
            <w:r>
              <w:rPr>
                <w:rFonts w:ascii="Cambria Math" w:hAnsi="Cambria Math" w:cs="Cambria Math"/>
                <w:color w:val="FF0000"/>
              </w:rPr>
              <w:t>↯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b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2 x 0,3 g p.o. oder 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 xml:space="preserve">3 x 0,6 g i.v.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strike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nach Indikation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16"/>
                <w:highlight w:val="cyan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de-DE"/>
              </w:rPr>
              <w:t>Höchstdosis: 4,8 g i.v., aufgeteilt in 2 – 4 Einzelgaben</w:t>
            </w: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21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sz w:val="16"/>
                <w:szCs w:val="18"/>
                <w:lang w:eastAsia="de-DE"/>
              </w:rPr>
            </w:pP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40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Tetrazykline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Standarddosierung*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Hohe Dosierung*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Unkomplizierte HWI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vertAlign w:val="superscript"/>
                <w:lang w:eastAsia="de-DE"/>
              </w:rPr>
              <w:t>§</w:t>
            </w: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rPr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Bemerkungen</w:t>
            </w: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35">
              <w:r w:rsidRPr="007F68D7">
                <w:rPr>
                  <w:rFonts w:ascii="Arial" w:hAnsi="Arial" w:cs="Arial"/>
                  <w:b/>
                  <w:sz w:val="16"/>
                  <w:szCs w:val="16"/>
                </w:rPr>
                <w:t>Doxycyclin</w:t>
              </w:r>
            </w:hyperlink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 x 0,1 g p.o.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strike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nach Indikation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Hohe Dosis 0,3 g/Tag bei Therapie der Syphilis, bei ambulant </w:t>
            </w:r>
            <w:r w:rsidR="004D048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erworbener Pneumonie 1 x 0,2 g p.o.</w:t>
            </w: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36">
              <w:r w:rsidRPr="007F68D7">
                <w:rPr>
                  <w:rFonts w:ascii="Arial" w:hAnsi="Arial" w:cs="Arial"/>
                  <w:b/>
                  <w:sz w:val="16"/>
                  <w:szCs w:val="16"/>
                </w:rPr>
                <w:t>Minocyclin</w:t>
              </w:r>
            </w:hyperlink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 x 0,1 g p.o.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37">
              <w:r w:rsidRPr="007F68D7">
                <w:rPr>
                  <w:rFonts w:ascii="Arial" w:hAnsi="Arial" w:cs="Arial"/>
                  <w:b/>
                  <w:sz w:val="16"/>
                  <w:szCs w:val="16"/>
                </w:rPr>
                <w:t>Tetracyclin</w:t>
              </w:r>
            </w:hyperlink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 x 0,25 g p.o.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strike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nach Indikation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DE4A3F">
        <w:trPr>
          <w:trHeight w:val="397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38">
              <w:r w:rsidRPr="007F68D7">
                <w:rPr>
                  <w:rFonts w:ascii="Arial" w:hAnsi="Arial" w:cs="Arial"/>
                  <w:b/>
                  <w:sz w:val="16"/>
                  <w:szCs w:val="16"/>
                </w:rPr>
                <w:t>Tigecyclin</w:t>
              </w:r>
            </w:hyperlink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100 mg Loading Dose, danach 50 mg i.v. alle 12 h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DE4A3F">
        <w:trPr>
          <w:trHeight w:val="300"/>
        </w:trPr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</w:tcPr>
          <w:p w:rsidR="00DE4A3F" w:rsidRPr="007F68D7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2133" w:type="dxa"/>
            <w:tcBorders>
              <w:bottom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</w:p>
        </w:tc>
        <w:tc>
          <w:tcPr>
            <w:tcW w:w="2007" w:type="dxa"/>
            <w:tcBorders>
              <w:bottom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</w:p>
        </w:tc>
        <w:tc>
          <w:tcPr>
            <w:tcW w:w="2220" w:type="dxa"/>
            <w:tcBorders>
              <w:bottom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</w:p>
        </w:tc>
        <w:tc>
          <w:tcPr>
            <w:tcW w:w="671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F68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Oxazolidinone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Standarddosierung*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Hohe Dosierung*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Unkomplizierte HWI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vertAlign w:val="superscript"/>
                <w:lang w:eastAsia="de-DE"/>
              </w:rPr>
              <w:t>§</w:t>
            </w: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rPr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Bemerkungen</w:t>
            </w:r>
          </w:p>
        </w:tc>
      </w:tr>
      <w:tr w:rsidR="00DE4A3F" w:rsidRPr="00464026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39">
              <w:r w:rsidRPr="007F68D7">
                <w:rPr>
                  <w:rFonts w:ascii="Arial" w:hAnsi="Arial" w:cs="Arial"/>
                  <w:b/>
                  <w:sz w:val="16"/>
                  <w:szCs w:val="16"/>
                </w:rPr>
                <w:t>Linezolid</w:t>
              </w:r>
            </w:hyperlink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2 x 0,6 g p.o. oder 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>2 x 0,6 g i.v.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  <w:t>Meningitis: 2 x 0,6 g i.v.</w:t>
            </w: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40">
              <w:r w:rsidRPr="007F68D7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de-DE"/>
                </w:rPr>
                <w:t>Tedizolid</w:t>
              </w:r>
            </w:hyperlink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 x 0,2 g p.o.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>oder 1 x 0,2 g i.v.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DE4A3F">
        <w:trPr>
          <w:trHeight w:hRule="exact" w:val="135"/>
        </w:trPr>
        <w:tc>
          <w:tcPr>
            <w:tcW w:w="1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4A3F" w:rsidRPr="00464026" w:rsidRDefault="00DE4A3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de-DE"/>
              </w:rPr>
            </w:pPr>
          </w:p>
        </w:tc>
        <w:tc>
          <w:tcPr>
            <w:tcW w:w="21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de-DE"/>
              </w:rPr>
            </w:pP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de-DE"/>
              </w:rPr>
            </w:pP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</w:tcBorders>
          </w:tcPr>
          <w:p w:rsidR="00DE4A3F" w:rsidRDefault="00DE4A3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lang w:eastAsia="de-DE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lang w:eastAsia="de-DE"/>
              </w:rPr>
            </w:pP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40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Weitere Substanzen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Standarddosierung*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Hohe Dosierung*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Unkomplizierte HWI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vertAlign w:val="superscript"/>
                <w:lang w:eastAsia="de-DE"/>
              </w:rPr>
              <w:t>§</w:t>
            </w: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4A3F" w:rsidRDefault="00B5048B">
            <w:pPr>
              <w:widowControl w:val="0"/>
              <w:spacing w:before="40" w:after="0" w:line="240" w:lineRule="auto"/>
              <w:rPr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Bemerkungen</w:t>
            </w:r>
          </w:p>
        </w:tc>
      </w:tr>
      <w:tr w:rsidR="00DE4A3F" w:rsidRPr="00464026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40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Chloramphenicol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4 x 1 g p.o. oder 4 x 1 g 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i.v.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 x 2 g p.o. oder 4 x 2 g i.v.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lang w:eastAsia="de-DE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16"/>
                <w:lang w:val="en-US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  <w:t>Meningitis: 4 x 2 g i.v.</w:t>
            </w: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41">
              <w:r w:rsidRPr="007F68D7">
                <w:rPr>
                  <w:rFonts w:ascii="Arial" w:hAnsi="Arial" w:cs="Arial"/>
                  <w:b/>
                  <w:sz w:val="16"/>
                  <w:szCs w:val="16"/>
                </w:rPr>
                <w:t>Colistin</w:t>
              </w:r>
            </w:hyperlink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 x 4,5 MU i.v. mit einer Loading Dose von 9 MU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Höchstdosis 3 x 4 MU i.v. nur in Ausnahmefällen!</w:t>
            </w: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42">
              <w:r w:rsidRPr="007F68D7">
                <w:rPr>
                  <w:rFonts w:ascii="Arial" w:hAnsi="Arial" w:cs="Arial"/>
                  <w:b/>
                  <w:sz w:val="16"/>
                  <w:szCs w:val="16"/>
                </w:rPr>
                <w:t>Daptomycin</w:t>
              </w:r>
            </w:hyperlink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 x 4 mg/kg i.v.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 x 6 mg/kg i.v.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</w:pP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43">
              <w:r w:rsidRPr="00464026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Daptomycin </w:t>
              </w:r>
              <w:r w:rsidRPr="00464026">
                <w:rPr>
                  <w:rFonts w:ascii="Arial" w:hAnsi="Arial" w:cs="Arial"/>
                  <w:bCs/>
                  <w:sz w:val="16"/>
                  <w:szCs w:val="16"/>
                </w:rPr>
                <w:t xml:space="preserve">(cSSTI** ohne gleichzeitige </w:t>
              </w:r>
              <w:r w:rsidRPr="00464026">
                <w:rPr>
                  <w:rFonts w:ascii="Arial" w:hAnsi="Arial" w:cs="Arial"/>
                  <w:bCs/>
                  <w:sz w:val="16"/>
                  <w:szCs w:val="16"/>
                </w:rPr>
                <w:br/>
              </w:r>
              <w:r w:rsidRPr="00464026">
                <w:rPr>
                  <w:rFonts w:ascii="Arial" w:hAnsi="Arial" w:cs="Arial"/>
                  <w:bCs/>
                  <w:i/>
                  <w:iCs/>
                  <w:sz w:val="16"/>
                  <w:szCs w:val="16"/>
                </w:rPr>
                <w:t>S. aureus</w:t>
              </w:r>
              <w:r w:rsidRPr="00464026">
                <w:rPr>
                  <w:rFonts w:ascii="Arial" w:hAnsi="Arial" w:cs="Arial"/>
                  <w:bCs/>
                  <w:sz w:val="16"/>
                  <w:szCs w:val="16"/>
                </w:rPr>
                <w:t xml:space="preserve"> Bakteriämie)</w:t>
              </w:r>
            </w:hyperlink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 x 4 mg/kg i.v.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44">
              <w:r w:rsidRPr="00464026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Daptomycin </w:t>
              </w:r>
              <w:r w:rsidRPr="00464026">
                <w:rPr>
                  <w:rFonts w:ascii="Arial" w:hAnsi="Arial" w:cs="Arial"/>
                  <w:bCs/>
                  <w:sz w:val="16"/>
                  <w:szCs w:val="16"/>
                </w:rPr>
                <w:t>(cSSTI** mit gleichzeitige S. aureus Bakteriämie); Rechtsherz</w:t>
              </w:r>
              <w:r w:rsidRPr="00464026">
                <w:rPr>
                  <w:rFonts w:ascii="Arial" w:hAnsi="Arial" w:cs="Arial"/>
                  <w:bCs/>
                  <w:sz w:val="16"/>
                  <w:szCs w:val="16"/>
                </w:rPr>
                <w:softHyphen/>
                <w:t xml:space="preserve">endokarditis mit </w:t>
              </w:r>
              <w:r w:rsidRPr="00464026">
                <w:rPr>
                  <w:rFonts w:ascii="Arial" w:hAnsi="Arial" w:cs="Arial"/>
                  <w:bCs/>
                  <w:i/>
                  <w:iCs/>
                  <w:sz w:val="16"/>
                  <w:szCs w:val="16"/>
                </w:rPr>
                <w:t>S. aureus</w:t>
              </w:r>
              <w:r w:rsidRPr="00464026">
                <w:rPr>
                  <w:rFonts w:ascii="Arial" w:hAnsi="Arial" w:cs="Arial"/>
                  <w:bCs/>
                  <w:sz w:val="16"/>
                  <w:szCs w:val="16"/>
                </w:rPr>
                <w:t>)</w:t>
              </w:r>
            </w:hyperlink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 x 6 mg/kg i.v.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Zu Enteroc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occus Blutstrom-Infektionen u. Endokarditis siehe </w:t>
            </w:r>
            <w:hyperlink r:id="rId45">
              <w:r>
                <w:rPr>
                  <w:rFonts w:ascii="Arial" w:hAnsi="Arial" w:cs="Arial"/>
                  <w:sz w:val="16"/>
                  <w:szCs w:val="16"/>
                </w:rPr>
                <w:t>http://www.eucast.org/guidance_documents</w:t>
              </w:r>
            </w:hyperlink>
          </w:p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4026">
              <w:rPr>
                <w:rFonts w:ascii="Arial" w:hAnsi="Arial" w:cs="Arial"/>
                <w:b/>
                <w:bCs/>
                <w:sz w:val="16"/>
                <w:szCs w:val="16"/>
              </w:rPr>
              <w:t>Fidaxomicin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>2 x 0.2</w:t>
            </w:r>
            <w:r>
              <w:rPr>
                <w:rFonts w:cs="Calibri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g p.o.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46">
              <w:r w:rsidRPr="007F68D7">
                <w:rPr>
                  <w:rFonts w:ascii="Arial" w:hAnsi="Arial" w:cs="Arial"/>
                  <w:b/>
                  <w:sz w:val="16"/>
                  <w:szCs w:val="16"/>
                </w:rPr>
                <w:t>Fosfomycin i.v</w:t>
              </w:r>
            </w:hyperlink>
            <w:r w:rsidRPr="007F68D7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7F68D7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16-18g/Tag in 3-4 Einzeldosen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highlight w:val="gree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nach Indikation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highlight w:val="red"/>
                <w:lang w:eastAsia="de-DE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 w:rsidP="00464026">
            <w:pPr>
              <w:pStyle w:val="StandardWeb"/>
              <w:widowControl w:val="0"/>
              <w:shd w:val="clear" w:color="auto" w:fill="FFFFFF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Bei schweren Infektionen kann die Tagesdosis bis auf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464026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g erhöht werden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47">
              <w:r w:rsidRPr="007F68D7">
                <w:rPr>
                  <w:rFonts w:ascii="Arial" w:hAnsi="Arial" w:cs="Arial"/>
                  <w:b/>
                  <w:sz w:val="16"/>
                  <w:szCs w:val="16"/>
                </w:rPr>
                <w:t>Fosfomycin p.o.</w:t>
              </w:r>
            </w:hyperlink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strike/>
              </w:rPr>
            </w:pPr>
            <w:r>
              <w:rPr>
                <w:strike/>
              </w:rPr>
              <w:t>-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 x 3 g p.o. als Einzelgabe</w:t>
            </w: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>nur für unkomplizierte Harnwegsinfe</w:t>
            </w:r>
            <w:r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>ktionen</w:t>
            </w: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48">
              <w:r w:rsidRPr="007F68D7">
                <w:rPr>
                  <w:rFonts w:ascii="Arial" w:hAnsi="Arial" w:cs="Arial"/>
                  <w:b/>
                  <w:sz w:val="16"/>
                  <w:szCs w:val="16"/>
                </w:rPr>
                <w:t>Fusidinsäure</w:t>
              </w:r>
            </w:hyperlink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2 x 0,5 g p.o. oder 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>2 x 0,5 g i.v.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nach Indikation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In Deutschland derzeit nur Zulassungen für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die lokale Anwendung.</w:t>
            </w:r>
            <w:r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 xml:space="preserve"> </w:t>
            </w: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F68D7">
              <w:rPr>
                <w:rFonts w:ascii="Arial" w:hAnsi="Arial" w:cs="Arial"/>
                <w:b/>
                <w:bCs/>
                <w:sz w:val="16"/>
                <w:szCs w:val="16"/>
              </w:rPr>
              <w:t>Lefamulin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x 0.15 g i.v. oder </w:t>
            </w:r>
            <w:r>
              <w:rPr>
                <w:rFonts w:ascii="Arial" w:hAnsi="Arial" w:cs="Arial"/>
                <w:sz w:val="16"/>
                <w:szCs w:val="16"/>
              </w:rPr>
              <w:br/>
              <w:t>2 x 0.6 g p.o.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49">
              <w:r w:rsidRPr="007F68D7">
                <w:rPr>
                  <w:rFonts w:ascii="Arial" w:hAnsi="Arial" w:cs="Arial"/>
                  <w:b/>
                  <w:sz w:val="16"/>
                  <w:szCs w:val="16"/>
                </w:rPr>
                <w:t>Metronidazol</w:t>
              </w:r>
            </w:hyperlink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3 x 0,4 g p.o. oder 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>3 x 0,4 g i.v.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nach Indikation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Höchstdosis 2 g p.o./i.v.</w:t>
            </w: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50">
              <w:r w:rsidRPr="007F68D7">
                <w:rPr>
                  <w:rFonts w:ascii="Arial" w:hAnsi="Arial" w:cs="Arial"/>
                  <w:b/>
                  <w:sz w:val="16"/>
                  <w:szCs w:val="16"/>
                </w:rPr>
                <w:t>Nitrofurantoin</w:t>
              </w:r>
            </w:hyperlink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t>-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3 - 4 x 50 - 100 mg p.o.</w:t>
            </w: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>nur für unkomplizierte Harnwegsinfe</w:t>
            </w:r>
            <w:r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 xml:space="preserve">ktionen; </w:t>
            </w:r>
          </w:p>
          <w:p w:rsidR="00DE4A3F" w:rsidRDefault="00B5048B">
            <w:pPr>
              <w:widowControl w:val="0"/>
              <w:spacing w:before="40"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>Dosierung ist abhängig von der Formulierung</w:t>
            </w: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F68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Nitroxolin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t>-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 x 0,25 g p.o.</w:t>
            </w: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>nur für unkomplizierte Harnwegsinfektionen</w:t>
            </w: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51">
              <w:r w:rsidRPr="007F68D7">
                <w:rPr>
                  <w:rFonts w:ascii="Arial" w:hAnsi="Arial" w:cs="Arial"/>
                  <w:b/>
                  <w:sz w:val="16"/>
                  <w:szCs w:val="16"/>
                </w:rPr>
                <w:t>Rifampicin</w:t>
              </w:r>
            </w:hyperlink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1 x 0,6 g p.o. oder 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>1 x 0,6 g i.v.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2 x 0,6 g p.o. oder 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>2 x 0,6 g i.v.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>Orale Applikation bei Indikation Tube</w:t>
            </w:r>
            <w:r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>rkulosetherapie mit geringerer Tagesdosis (450-600 mg/Tag).</w:t>
            </w:r>
          </w:p>
        </w:tc>
      </w:tr>
      <w:tr w:rsidR="00DE4A3F">
        <w:trPr>
          <w:trHeight w:val="274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52">
              <w:r w:rsidRPr="007F68D7">
                <w:rPr>
                  <w:rFonts w:ascii="Arial" w:hAnsi="Arial" w:cs="Arial"/>
                  <w:b/>
                  <w:sz w:val="16"/>
                  <w:szCs w:val="16"/>
                </w:rPr>
                <w:t>Spectinomycin</w:t>
              </w:r>
            </w:hyperlink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 x 2 g im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In Deutschland derzeit keine 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Zulassung mehr.</w:t>
            </w:r>
          </w:p>
        </w:tc>
      </w:tr>
      <w:tr w:rsidR="00DE4A3F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7F68D7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53">
              <w:r w:rsidRPr="007F68D7">
                <w:rPr>
                  <w:rFonts w:ascii="Arial" w:hAnsi="Arial" w:cs="Arial"/>
                  <w:b/>
                  <w:sz w:val="16"/>
                  <w:szCs w:val="16"/>
                </w:rPr>
                <w:t>Trimethoprim</w:t>
              </w:r>
            </w:hyperlink>
            <w:r w:rsidRPr="007F68D7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de-DE"/>
              </w:rPr>
              <w:t xml:space="preserve"> </w:t>
            </w:r>
            <w:r w:rsidRPr="007F68D7">
              <w:rPr>
                <w:rFonts w:ascii="Cambria Math" w:hAnsi="Cambria Math" w:cs="Cambria Math"/>
                <w:b/>
                <w:color w:val="FF0000"/>
                <w:sz w:val="16"/>
                <w:szCs w:val="16"/>
              </w:rPr>
              <w:t>↯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t>-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 x 0,16 g p.o.</w:t>
            </w: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 w:rsidP="00464026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 für unkomplizierte Harnwegsinfektionen</w:t>
            </w:r>
            <w:r w:rsidR="00464026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In Deutschland stehen 50 mg, 100 mg, 150 mg und 200 mg Tabletten zur Verfügung. Höchstdosis 2 x 0,2 g p.o.</w:t>
            </w:r>
          </w:p>
        </w:tc>
      </w:tr>
      <w:tr w:rsidR="00DE4A3F">
        <w:trPr>
          <w:trHeight w:val="45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464026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40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Trimethoprim-Sulfamethoxazol (Cotrimoxazol)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Pr="00464026" w:rsidRDefault="00B5048B">
            <w:pPr>
              <w:widowControl w:val="0"/>
              <w:spacing w:before="40" w:after="0" w:line="240" w:lineRule="auto"/>
              <w:jc w:val="center"/>
            </w:pPr>
            <w:r w:rsidRPr="0046402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 x (160 mg Trimethoprim + 800 mg Sulfamethoxazol) p.o. oder i.v.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lang w:val="en-US"/>
              </w:rPr>
            </w:pPr>
            <w:r w:rsidRPr="0046402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 x (240 mg Trim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  <w:t xml:space="preserve">ethoprim + 1200 mg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  <w:t>Sulfamethoxazol) p.o. oder i.v.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F" w:rsidRDefault="00B5048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lang w:val="en-US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  <w:t>2 x (160 mg Trimethoprim + 800 mg Sulfamethoxazol) p.o. oder i.v.</w:t>
            </w: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3F" w:rsidRDefault="00B5048B">
            <w:pPr>
              <w:widowControl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 xml:space="preserve">In Deutschland sind 480 mg und 960 mg Präparate erhältlich. Als hohe Dosierung kann auch 3 x 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(160 mg Trimethoprim + 800 mg Sulfamethoxazol) p.o. oder i.v. ein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gesetzt werden.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Meningitis</w:t>
            </w:r>
            <w:r>
              <w:rPr>
                <w:rFonts w:ascii="Arial" w:hAnsi="Arial" w:cs="Arial"/>
                <w:sz w:val="16"/>
                <w:szCs w:val="16"/>
              </w:rPr>
              <w:t>: 3 x (5 mg/kg max. 0,48 g Trimethoprim + 25 mg/kg max. 2,4 g Sulfamethoxazol) i.v.</w:t>
            </w:r>
          </w:p>
          <w:p w:rsidR="00DE4A3F" w:rsidRDefault="00DE4A3F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</w:pPr>
          </w:p>
        </w:tc>
      </w:tr>
      <w:tr w:rsidR="00DE4A3F">
        <w:trPr>
          <w:trHeight w:val="300"/>
        </w:trPr>
        <w:tc>
          <w:tcPr>
            <w:tcW w:w="14932" w:type="dxa"/>
            <w:gridSpan w:val="6"/>
          </w:tcPr>
          <w:p w:rsidR="00DE4A3F" w:rsidRDefault="00DE4A3F">
            <w:pPr>
              <w:widowControl w:val="0"/>
              <w:spacing w:after="8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de-DE"/>
              </w:rPr>
            </w:pPr>
          </w:p>
          <w:p w:rsidR="00DE4A3F" w:rsidRDefault="00B5048B">
            <w:pPr>
              <w:widowControl w:val="0"/>
              <w:spacing w:after="8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de-DE"/>
              </w:rPr>
              <w:t>Anmerkungen:</w:t>
            </w:r>
          </w:p>
          <w:p w:rsidR="00DE4A3F" w:rsidRDefault="00B5048B">
            <w:pPr>
              <w:widowControl w:val="0"/>
              <w:spacing w:after="8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 xml:space="preserve">*Dosierung pro Tag </w:t>
            </w:r>
            <w:r>
              <w:rPr>
                <w:rFonts w:ascii="Arial" w:hAnsi="Arial" w:cs="Arial"/>
                <w:sz w:val="18"/>
                <w:szCs w:val="18"/>
              </w:rPr>
              <w:t>für Erwachsene ohne Therapie-modifizierende Faktoren</w:t>
            </w:r>
          </w:p>
          <w:p w:rsidR="00DE4A3F" w:rsidRDefault="00B5048B">
            <w:pPr>
              <w:widowControl w:val="0"/>
              <w:spacing w:after="8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Cambria Math" w:eastAsia="Times New Roman" w:hAnsi="Cambria Math" w:cs="Cambria Math"/>
                <w:color w:val="FF0000"/>
                <w:sz w:val="18"/>
                <w:szCs w:val="18"/>
                <w:lang w:eastAsia="de-DE"/>
              </w:rPr>
              <w:t>↯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CAVE: Bei den markierten Antibiotika ist in Deutschland auch eine niedrigere Dosis als die von der EUCAST angegebene Standarddosierung zugelassen. </w:t>
            </w:r>
          </w:p>
          <w:p w:rsidR="00DE4A3F" w:rsidRDefault="00B5048B">
            <w:pPr>
              <w:widowControl w:val="0"/>
              <w:spacing w:after="8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Höchstdosis: Die in Deutschland zugelassene Höchstdosis bezieht sich nur auf bestimmte Indikationen und Präp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arate; im Einzelfall ist die Fachinformation zu konsultieren. Sofern die in Deutschland zugelassene Höchstdosis niedriger ist als die hohe Dosierung von EUCAST, ist dies rot markiert.</w:t>
            </w:r>
          </w:p>
          <w:p w:rsidR="00DE4A3F" w:rsidRDefault="00B5048B">
            <w:pPr>
              <w:widowControl w:val="0"/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de-DE"/>
              </w:rPr>
              <w:t>§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Unkomplizierte Harnwegsinfektionen: akute, sporadische oder wiederkehr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ende untere Harnwegsinfektionen (unkomplizierte Zystitis) in Patienten ohne bekannte relevante anatomische oder funktionale Anomalitäten innerhalb des Harntrakts oder Komorbiditäten.</w:t>
            </w:r>
          </w:p>
          <w:p w:rsidR="00DE4A3F" w:rsidRPr="00464026" w:rsidRDefault="00B5048B">
            <w:pPr>
              <w:widowControl w:val="0"/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640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cSSTI*: komplizierte Haut-/Weichteilinfektion</w:t>
            </w:r>
          </w:p>
          <w:p w:rsidR="00DE4A3F" w:rsidRPr="00464026" w:rsidRDefault="00B5048B">
            <w:pPr>
              <w:widowControl w:val="0"/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640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* HAP/VAP: hospital-acquire</w:t>
            </w:r>
            <w:r w:rsidRPr="004640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d pneumonia/ventilator-associated pneumonia</w:t>
            </w:r>
          </w:p>
          <w:p w:rsidR="00DE4A3F" w:rsidRDefault="00B5048B">
            <w:pPr>
              <w:widowControl w:val="0"/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nach Indikation: Höchstdosis abhängig von Indikation/klinischem Bild</w:t>
            </w:r>
          </w:p>
          <w:p w:rsidR="00DE4A3F" w:rsidRDefault="00B5048B">
            <w:pPr>
              <w:widowControl w:val="0"/>
              <w:spacing w:after="80" w:line="240" w:lineRule="auto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Modifiziert nach EUCAST dosages/clinical breakpoints, Version 13.0, </w:t>
            </w:r>
            <w:hyperlink r:id="rId54">
              <w:r>
                <w:rPr>
                  <w:rFonts w:ascii="Arial" w:eastAsia="Times New Roman" w:hAnsi="Arial" w:cs="Arial"/>
                  <w:sz w:val="18"/>
                  <w:szCs w:val="18"/>
                  <w:lang w:eastAsia="de-DE"/>
                </w:rPr>
                <w:t>http://www.eucast.org/clinical_breakpoints/</w:t>
              </w:r>
            </w:hyperlink>
          </w:p>
        </w:tc>
        <w:tc>
          <w:tcPr>
            <w:tcW w:w="7" w:type="dxa"/>
          </w:tcPr>
          <w:p w:rsidR="00DE4A3F" w:rsidRDefault="00DE4A3F">
            <w:pPr>
              <w:widowControl w:val="0"/>
            </w:pPr>
          </w:p>
        </w:tc>
      </w:tr>
    </w:tbl>
    <w:p w:rsidR="00DE4A3F" w:rsidRDefault="00B5048B">
      <w:pPr>
        <w:spacing w:after="80"/>
        <w:ind w:right="457"/>
        <w:jc w:val="right"/>
      </w:pPr>
      <w:r>
        <w:rPr>
          <w:rFonts w:ascii="Arial" w:hAnsi="Arial" w:cs="Arial"/>
          <w:sz w:val="18"/>
        </w:rPr>
        <w:t>Letztes Änderungsdatum 30.01.2023</w:t>
      </w:r>
    </w:p>
    <w:sectPr w:rsidR="00DE4A3F">
      <w:footerReference w:type="default" r:id="rId55"/>
      <w:pgSz w:w="16838" w:h="11906" w:orient="landscape"/>
      <w:pgMar w:top="624" w:right="737" w:bottom="777" w:left="737" w:header="0" w:footer="720" w:gutter="0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048B">
      <w:pPr>
        <w:spacing w:after="0" w:line="240" w:lineRule="auto"/>
      </w:pPr>
      <w:r>
        <w:separator/>
      </w:r>
    </w:p>
  </w:endnote>
  <w:endnote w:type="continuationSeparator" w:id="0">
    <w:p w:rsidR="00000000" w:rsidRDefault="00B5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1"/>
    <w:family w:val="swiss"/>
    <w:pitch w:val="default"/>
  </w:font>
  <w:font w:name="Lato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864804"/>
      <w:docPartObj>
        <w:docPartGallery w:val="Page Numbers (Bottom of Page)"/>
        <w:docPartUnique/>
      </w:docPartObj>
    </w:sdtPr>
    <w:sdtEndPr/>
    <w:sdtContent>
      <w:p w:rsidR="00DE4A3F" w:rsidRDefault="00B5048B">
        <w:pPr>
          <w:pStyle w:val="Fuzeil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E4A3F" w:rsidRDefault="00DE4A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5048B">
      <w:pPr>
        <w:spacing w:after="0" w:line="240" w:lineRule="auto"/>
      </w:pPr>
      <w:r>
        <w:separator/>
      </w:r>
    </w:p>
  </w:footnote>
  <w:footnote w:type="continuationSeparator" w:id="0">
    <w:p w:rsidR="00000000" w:rsidRDefault="00B50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DEE"/>
    <w:multiLevelType w:val="multilevel"/>
    <w:tmpl w:val="11C296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F23EDB"/>
    <w:multiLevelType w:val="multilevel"/>
    <w:tmpl w:val="146829AC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-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-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-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0"/>
        </w:tabs>
        <w:ind w:left="1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3F"/>
    <w:rsid w:val="00464026"/>
    <w:rsid w:val="004D0481"/>
    <w:rsid w:val="007F68D7"/>
    <w:rsid w:val="00B5048B"/>
    <w:rsid w:val="00DE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BDBC"/>
  <w15:docId w15:val="{0DAA89C7-CF75-4D3A-99A1-81999F67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yperlink1">
    <w:name w:val="Hyperlink1"/>
    <w:basedOn w:val="Absatz-Standardschriftart"/>
    <w:qFormat/>
    <w:rPr>
      <w:color w:val="0000FF"/>
      <w:u w:val="single"/>
    </w:rPr>
  </w:style>
  <w:style w:type="character" w:styleId="Kommentarzeichen">
    <w:name w:val="annotation reference"/>
    <w:basedOn w:val="Absatz-Standardschriftart"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qFormat/>
    <w:rPr>
      <w:sz w:val="20"/>
      <w:szCs w:val="20"/>
    </w:rPr>
  </w:style>
  <w:style w:type="character" w:customStyle="1" w:styleId="KommentarthemaZchn">
    <w:name w:val="Kommentarthema Zchn"/>
    <w:basedOn w:val="KommentartextZchn"/>
    <w:qFormat/>
    <w:rPr>
      <w:b/>
      <w:bCs/>
      <w:sz w:val="20"/>
      <w:szCs w:val="20"/>
    </w:rPr>
  </w:style>
  <w:style w:type="character" w:customStyle="1" w:styleId="SprechblasentextZchn">
    <w:name w:val="Sprechblasentext Zchn"/>
    <w:basedOn w:val="Absatz-Standardschriftart"/>
    <w:qFormat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839FD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0E37E8"/>
    <w:rPr>
      <w:color w:val="800080" w:themeColor="followed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F1A6E"/>
  </w:style>
  <w:style w:type="character" w:customStyle="1" w:styleId="FuzeileZchn">
    <w:name w:val="Fußzeile Zchn"/>
    <w:basedOn w:val="Absatz-Standardschriftart"/>
    <w:link w:val="Fuzeile"/>
    <w:uiPriority w:val="99"/>
    <w:qFormat/>
    <w:rsid w:val="008F1A6E"/>
  </w:style>
  <w:style w:type="character" w:customStyle="1" w:styleId="LineNumbering">
    <w:name w:val="Line Numbering"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body"/>
    <w:rPr>
      <w:rFonts w:ascii="Liberation Sans" w:hAnsi="Liberation Sans" w:cs="FreeSans"/>
      <w:sz w:val="24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ascii="Liberation Sans" w:hAnsi="Liberation Sans" w:cs="FreeSans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Kommentartext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qFormat/>
    <w:rPr>
      <w:b/>
      <w:bCs/>
    </w:rPr>
  </w:style>
  <w:style w:type="paragraph" w:styleId="Sprechblasentext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96D8E"/>
    <w:pPr>
      <w:ind w:left="720"/>
      <w:contextualSpacing/>
    </w:pPr>
  </w:style>
  <w:style w:type="paragraph" w:customStyle="1" w:styleId="Default">
    <w:name w:val="Default"/>
    <w:qFormat/>
    <w:rsid w:val="004343DF"/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uiPriority w:val="99"/>
    <w:semiHidden/>
    <w:qFormat/>
    <w:rsid w:val="008D37CB"/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8F1A6E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8F1A6E"/>
    <w:pPr>
      <w:tabs>
        <w:tab w:val="center" w:pos="4536"/>
        <w:tab w:val="right" w:pos="9072"/>
      </w:tabs>
      <w:spacing w:after="0" w:line="240" w:lineRule="auto"/>
    </w:pPr>
  </w:style>
  <w:style w:type="paragraph" w:styleId="StandardWeb">
    <w:name w:val="Normal (Web)"/>
    <w:basedOn w:val="Standard"/>
    <w:uiPriority w:val="99"/>
    <w:unhideWhenUsed/>
    <w:qFormat/>
    <w:rsid w:val="00EB3B79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rameContents">
    <w:name w:val="Frame Contents"/>
    <w:basedOn w:val="Standard"/>
    <w:qFormat/>
  </w:style>
  <w:style w:type="numbering" w:customStyle="1" w:styleId="KeineListe1">
    <w:name w:val="Keine Liste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ucast.org/fileadmin/src/media/PDFs/EUCAST_files/Rationale_documents/Phenoxymethylpenicillin_rationale_Nov2010_v_1.0.pdf" TargetMode="External"/><Relationship Id="rId18" Type="http://schemas.openxmlformats.org/officeDocument/2006/relationships/hyperlink" Target="http://www.eucast.org/fileadmin/src/media/PDFs/EUCAST_files/Rationale_documents/Ceftazidime_Rationale_Document_1.0_2010Nov.pdf" TargetMode="External"/><Relationship Id="rId26" Type="http://schemas.openxmlformats.org/officeDocument/2006/relationships/hyperlink" Target="http://www.eucast.org/fileadmin/src/media/PDFs/EUCAST_files/Rationale_documents/Ciprofloxacin_rationale_1.9.pdf" TargetMode="External"/><Relationship Id="rId39" Type="http://schemas.openxmlformats.org/officeDocument/2006/relationships/hyperlink" Target="http://www.eucast.org/fileadmin/src/media/PDFs/EUCAST_files/Rationale_documents/Linezolidrationale1.0.pdf" TargetMode="External"/><Relationship Id="rId21" Type="http://schemas.openxmlformats.org/officeDocument/2006/relationships/hyperlink" Target="http://www.eucast.org/fileadmin/src/media/PDFs/EUCAST_files/Rationale_documents/Cefuroxime_iv_Rationale_Document_1.0_2010Nov.pdf" TargetMode="External"/><Relationship Id="rId34" Type="http://schemas.openxmlformats.org/officeDocument/2006/relationships/hyperlink" Target="http://www.eucast.org/fileadmin/src/media/PDFs/EUCAST_files/Rationale_documents/Vancomycin_rationale_2.1.pdf" TargetMode="External"/><Relationship Id="rId42" Type="http://schemas.openxmlformats.org/officeDocument/2006/relationships/hyperlink" Target="http://www.eucast.org/fileadmin/src/media/PDFs/EUCAST_files/Rationale_documents/Daptomycinrationale1.0.pdf" TargetMode="External"/><Relationship Id="rId47" Type="http://schemas.openxmlformats.org/officeDocument/2006/relationships/hyperlink" Target="http://www.eucast.org/fileadmin/src/media/PDFs/EUCAST_files/Rationale_documents/Fosfomycin_trometamol_rationale_1.0_20130203.pdf" TargetMode="External"/><Relationship Id="rId50" Type="http://schemas.openxmlformats.org/officeDocument/2006/relationships/hyperlink" Target="http://www.eucast.org/fileadmin/src/media/PDFs/EUCAST_files/Rationale_documents/Nitrofurantoin_rationale_1.0.pdf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eucast.org/fileadmin/src/media/PDFs/EUCAST_files/Rationale_documents/Piperacillin-tazobactam_rationale_Nov2010_v_1.0.pdf" TargetMode="External"/><Relationship Id="rId17" Type="http://schemas.openxmlformats.org/officeDocument/2006/relationships/hyperlink" Target="http://www.eucast.org/fileadmin/src/media/PDFs/EUCAST_files/Rationale_documents/Ceftaroline_Rationale_document_v1.0_20141010.pdf" TargetMode="External"/><Relationship Id="rId25" Type="http://schemas.openxmlformats.org/officeDocument/2006/relationships/hyperlink" Target="https://www.eucast.org/publications_and_documents/rd/" TargetMode="External"/><Relationship Id="rId33" Type="http://schemas.openxmlformats.org/officeDocument/2006/relationships/hyperlink" Target="http://www.eucast.org/fileadmin/src/media/PDFs/EUCAST_files/Rationale_documents/Teicoplanin_rationale_2.1.pdf" TargetMode="External"/><Relationship Id="rId38" Type="http://schemas.openxmlformats.org/officeDocument/2006/relationships/hyperlink" Target="http://www.eucast.org/fileadmin/src/media/PDFs/EUCAST_files/Rationale_documents/Tigecyclinerationale1.0.pdf" TargetMode="External"/><Relationship Id="rId46" Type="http://schemas.openxmlformats.org/officeDocument/2006/relationships/hyperlink" Target="http://www.eucast.org/fileadmin/src/media/PDFs/EUCAST_files/Rationale_documents/Fosfomycin_rationale_1.0_2013020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ucast.org/fileadmin/src/media/PDFs/EUCAST_files/Rationale_documents/Cefotaxime_Rationale_Document_1.0_2010Nov.pdf" TargetMode="External"/><Relationship Id="rId20" Type="http://schemas.openxmlformats.org/officeDocument/2006/relationships/hyperlink" Target="http://www.eucast.org/fileadmin/src/media/PDFs/EUCAST_files/Rationale_documents/Ceftobiprole_Rational_Document_1.0_20160331f.pdf" TargetMode="External"/><Relationship Id="rId29" Type="http://schemas.openxmlformats.org/officeDocument/2006/relationships/hyperlink" Target="http://www.eucast.org/fileadmin/src/media/PDFs/EUCAST_files/Rationale_documents/Moxifloxacin_rationale_2.3.pdf" TargetMode="External"/><Relationship Id="rId41" Type="http://schemas.openxmlformats.org/officeDocument/2006/relationships/hyperlink" Target="http://www.eucast.org/fileadmin/src/media/PDFs/EUCAST_files/Rationale_documents/Colistin_rationale_1.0.pdf" TargetMode="External"/><Relationship Id="rId54" Type="http://schemas.openxmlformats.org/officeDocument/2006/relationships/hyperlink" Target="http://www.eucast.org/clinical_breakpoint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cast.org/fileadmin/src/media/PDFs/EUCAST_files/Rationale_documents/Amoxicillin_rationale_Nov2010_v_1.0.pdf" TargetMode="External"/><Relationship Id="rId24" Type="http://schemas.openxmlformats.org/officeDocument/2006/relationships/hyperlink" Target="http://www.eucast.org/fileadmin/src/media/PDFs/EUCAST_files/Rationale_documents/Meropenem_EUCAST_Rationale_Document_1.5_090601.pdf" TargetMode="External"/><Relationship Id="rId32" Type="http://schemas.openxmlformats.org/officeDocument/2006/relationships/hyperlink" Target="http://www.eucast.org/fileadmin/src/media/PDFs/EUCAST_files/Rationale_documents/Tobramycin_rationale_1.2_0906.pdf" TargetMode="External"/><Relationship Id="rId37" Type="http://schemas.openxmlformats.org/officeDocument/2006/relationships/hyperlink" Target="http://www.eucast.org/fileadmin/src/media/PDFs/EUCAST_files/Rationale_documents/Tetracycline_Rationale_Document_1.0_20091202.pdf" TargetMode="External"/><Relationship Id="rId40" Type="http://schemas.openxmlformats.org/officeDocument/2006/relationships/hyperlink" Target="https://www.eucast.org/publications_and_documents/rd/" TargetMode="External"/><Relationship Id="rId45" Type="http://schemas.openxmlformats.org/officeDocument/2006/relationships/hyperlink" Target="http://www.eucast.org/guidance_documents" TargetMode="External"/><Relationship Id="rId53" Type="http://schemas.openxmlformats.org/officeDocument/2006/relationships/hyperlink" Target="http://www.eucast.org/fileadmin/src/media/PDFs/EUCAST_files/Rationale_documents/Trimethoprim_rationale_1.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ucast.org/fileadmin/src/media/PDFs/EUCAST_files/Rationale_documents/Temocillin_rationale_document_v1.0_20200327.pdf" TargetMode="External"/><Relationship Id="rId23" Type="http://schemas.openxmlformats.org/officeDocument/2006/relationships/hyperlink" Target="http://www.eucast.org/fileadmin/src/media/PDFs/EUCAST_files/Rationale_documents/Imipenem_EUCAST_Rationale_Document_1.3_090601.pdf" TargetMode="External"/><Relationship Id="rId28" Type="http://schemas.openxmlformats.org/officeDocument/2006/relationships/hyperlink" Target="http://www.eucast.org/fileadmin/src/media/PDFs/EUCAST_files/Rationale_documents/Levofloxacin_rationale_1.5.pdf" TargetMode="External"/><Relationship Id="rId36" Type="http://schemas.openxmlformats.org/officeDocument/2006/relationships/hyperlink" Target="http://www.eucast.org/fileadmin/src/media/PDFs/EUCAST_files/Rationale_documents/Minocycline_Rationale_Document_1.0_20091202.pdf" TargetMode="External"/><Relationship Id="rId49" Type="http://schemas.openxmlformats.org/officeDocument/2006/relationships/hyperlink" Target="http://www.eucast.org/fileadmin/src/media/PDFs/EUCAST_files/Rationale_documents/Metronidazole_rationale_1.0.pdf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eucast.org/fileadmin/src/media/PDFs/EUCAST_files/Rationale_documents/Amoxicillin_rationale_Nov2010_v_1.0.pdf" TargetMode="External"/><Relationship Id="rId19" Type="http://schemas.openxmlformats.org/officeDocument/2006/relationships/hyperlink" Target="https://www.eucast.org/publications_and_documents/rd/" TargetMode="External"/><Relationship Id="rId31" Type="http://schemas.openxmlformats.org/officeDocument/2006/relationships/hyperlink" Target="http://www.eucast.org/fileadmin/src/media/PDFs/EUCAST_files/Rationale_documents/Gentamicin_rationale_1.2_0906.pdf" TargetMode="External"/><Relationship Id="rId44" Type="http://schemas.openxmlformats.org/officeDocument/2006/relationships/hyperlink" Target="http://www.eucast.org/fileadmin/src/media/PDFs/EUCAST_files/Rationale_documents/Daptomycinrationale1.0.pdf" TargetMode="External"/><Relationship Id="rId52" Type="http://schemas.openxmlformats.org/officeDocument/2006/relationships/hyperlink" Target="http://www.eucast.org/fileadmin/src/media/PDFs/EUCAST_files/Rationale_documents/Spectinomycin_rationale_1.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cast.org/fileadmin/src/media/PDFs/EUCAST_files/Rationale_documents/Benzylpenicillin_rationale_Nov2010_v_1.0.pdf" TargetMode="External"/><Relationship Id="rId14" Type="http://schemas.openxmlformats.org/officeDocument/2006/relationships/hyperlink" Target="http://www.eucast.org/fileadmin/src/media/PDFs/EUCAST_files/Rationale_documents/Mecillinam_rationale_Nov2010_v_1.0.pdf" TargetMode="External"/><Relationship Id="rId22" Type="http://schemas.openxmlformats.org/officeDocument/2006/relationships/hyperlink" Target="http://www.eucast.org/fileadmin/src/media/PDFs/EUCAST_files/Rationale_documents/Ertapenem_EUCAST_Rationale_Document_1.3_090601.pdf" TargetMode="External"/><Relationship Id="rId27" Type="http://schemas.openxmlformats.org/officeDocument/2006/relationships/hyperlink" Target="https://www.eucast.org/publications_and_documents/rd/" TargetMode="External"/><Relationship Id="rId30" Type="http://schemas.openxmlformats.org/officeDocument/2006/relationships/hyperlink" Target="http://www.eucast.org/fileadmin/src/media/PDFs/EUCAST_files/Rationale_documents/Amikacin_rationale_1.2_0906.pdf" TargetMode="External"/><Relationship Id="rId35" Type="http://schemas.openxmlformats.org/officeDocument/2006/relationships/hyperlink" Target="http://www.eucast.org/fileadmin/src/media/PDFs/EUCAST_files/Rationale_documents/Doxycycline_Rationale_Document_1.0_20091202.pdf" TargetMode="External"/><Relationship Id="rId43" Type="http://schemas.openxmlformats.org/officeDocument/2006/relationships/hyperlink" Target="http://www.eucast.org/fileadmin/src/media/PDFs/EUCAST_files/Rationale_documents/Daptomycinrationale1.0.pdf" TargetMode="External"/><Relationship Id="rId48" Type="http://schemas.openxmlformats.org/officeDocument/2006/relationships/hyperlink" Target="http://www.eucast.org/fileadmin/src/media/PDFs/EUCAST_files/Rationale_documents/Fusidic_acid_rationale_1.0_2010_Oct.pdf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://www.eucast.org/fileadmin/src/media/PDFs/EUCAST_files/Rationale_documents/Rifampicin_rationale_1.0_2010_Oct.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E6F7D-0F91-4E15-B759-691049DF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2911</Words>
  <Characters>18343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HELIOS Kliniken GmbH</Company>
  <LinksUpToDate>false</LinksUpToDate>
  <CharactersWithSpaces>21212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</dc:creator>
  <dc:description/>
  <cp:lastModifiedBy>Hamprecht, Axel</cp:lastModifiedBy>
  <cp:revision>5</cp:revision>
  <cp:lastPrinted>2023-02-01T13:48:00Z</cp:lastPrinted>
  <dcterms:created xsi:type="dcterms:W3CDTF">2023-02-01T13:43:00Z</dcterms:created>
  <dcterms:modified xsi:type="dcterms:W3CDTF">2023-02-01T13:50:00Z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